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BF2D9E" w:rsidRDefault="00BF2D9E" w:rsidP="00BF2D9E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064C11D5" wp14:editId="2F54C4B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Default="00BF2D9E" w:rsidP="00BF2D9E">
      <w:pPr>
        <w:rPr>
          <w:sz w:val="34"/>
          <w:szCs w:val="34"/>
        </w:rPr>
      </w:pPr>
    </w:p>
    <w:p w:rsidR="00BF2D9E" w:rsidRDefault="00BF2D9E" w:rsidP="00BF2D9E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BF2D9E" w:rsidRDefault="00BF2D9E" w:rsidP="00BF2D9E">
      <w:pPr>
        <w:jc w:val="center"/>
        <w:rPr>
          <w:b/>
          <w:sz w:val="12"/>
          <w:szCs w:val="12"/>
        </w:rPr>
      </w:pPr>
    </w:p>
    <w:p w:rsidR="00BF2D9E" w:rsidRDefault="00BF2D9E" w:rsidP="00BF2D9E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BF2D9E" w:rsidRPr="00AA6923" w:rsidRDefault="00A32766" w:rsidP="00BF2D9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15.11.2022 </w:t>
      </w:r>
      <w:r w:rsidR="00BF2D9E">
        <w:rPr>
          <w:sz w:val="24"/>
          <w:szCs w:val="24"/>
        </w:rPr>
        <w:t xml:space="preserve">№ </w:t>
      </w:r>
      <w:r>
        <w:rPr>
          <w:sz w:val="24"/>
          <w:szCs w:val="24"/>
        </w:rPr>
        <w:t>708-п</w:t>
      </w:r>
    </w:p>
    <w:p w:rsidR="00BF2D9E" w:rsidRPr="00AA6923" w:rsidRDefault="00BF2D9E" w:rsidP="00BF2D9E">
      <w:pPr>
        <w:jc w:val="center"/>
        <w:rPr>
          <w:sz w:val="24"/>
          <w:szCs w:val="24"/>
        </w:rPr>
      </w:pPr>
    </w:p>
    <w:p w:rsidR="00BF2D9E" w:rsidRDefault="00BF2D9E" w:rsidP="00BF2D9E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О</w:t>
      </w:r>
      <w:r w:rsidR="007870CF">
        <w:rPr>
          <w:color w:val="000000"/>
          <w:szCs w:val="28"/>
        </w:rPr>
        <w:t>б</w:t>
      </w:r>
      <w:r w:rsidRPr="00426893">
        <w:rPr>
          <w:color w:val="000000"/>
          <w:szCs w:val="28"/>
        </w:rPr>
        <w:t xml:space="preserve"> утверждении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«Управление имуществом и муниципальными финансами»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на 2023-2027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 муниципальных программах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Лыткарино, утвержденным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г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426893">
        <w:rPr>
          <w:rFonts w:ascii="Times New Roman" w:hAnsi="Times New Roman"/>
          <w:color w:val="000000"/>
          <w:sz w:val="28"/>
          <w:szCs w:val="28"/>
        </w:rPr>
        <w:t>.20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10.11.2022 </w:t>
      </w:r>
      <w:r w:rsidRPr="00426893">
        <w:rPr>
          <w:rFonts w:ascii="Times New Roman" w:hAnsi="Times New Roman"/>
          <w:color w:val="000000"/>
          <w:sz w:val="28"/>
          <w:szCs w:val="28"/>
        </w:rPr>
        <w:t>№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93</w:t>
      </w:r>
      <w:r w:rsidRPr="00426893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61751B" w:rsidRPr="00426893" w:rsidRDefault="00383FED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 Утвердить муниципальную программу «Управление имуществом и муниципальными финансами» на 2023-2027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51B" w:rsidRDefault="003B36DE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E10785" w:rsidRPr="0022235D" w:rsidRDefault="003B36DE" w:rsidP="00F053A1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E10785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Начальнику 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отдела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экономики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перспективного 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развития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Администрации г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ородского округа </w:t>
      </w:r>
      <w:r w:rsidR="0022235D">
        <w:rPr>
          <w:rFonts w:ascii="Times New Roman" w:hAnsi="Times New Roman"/>
          <w:color w:val="000000"/>
          <w:sz w:val="28"/>
          <w:szCs w:val="28"/>
        </w:rPr>
        <w:t>Лыткарино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Демидовой О.Н.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61751B" w:rsidRPr="00426893" w:rsidRDefault="003B36DE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50B41"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Е.В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Бразгину.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  <w:sectPr w:rsidR="004429E4" w:rsidRPr="00426893" w:rsidSect="00F053A1">
          <w:footerReference w:type="first" r:id="rId9"/>
          <w:pgSz w:w="11906" w:h="16838"/>
          <w:pgMar w:top="567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9B6479" w:rsidRPr="00426893" w:rsidRDefault="00D64B6C" w:rsidP="009B6479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</w:t>
      </w:r>
      <w:r w:rsidR="00667598">
        <w:rPr>
          <w:color w:val="000000"/>
          <w:sz w:val="18"/>
          <w:szCs w:val="18"/>
        </w:rPr>
        <w:t>ТВЕРЖДЕНА</w:t>
      </w:r>
    </w:p>
    <w:p w:rsidR="009B6479" w:rsidRPr="00426893" w:rsidRDefault="009B6479" w:rsidP="009B6479">
      <w:pPr>
        <w:jc w:val="right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Постановлением </w:t>
      </w:r>
    </w:p>
    <w:p w:rsidR="004429E4" w:rsidRPr="00426893" w:rsidRDefault="009B6479" w:rsidP="009B6479">
      <w:pPr>
        <w:jc w:val="right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>главы городского округа  Лыткарино</w:t>
      </w:r>
    </w:p>
    <w:p w:rsidR="004429E4" w:rsidRPr="00426893" w:rsidRDefault="004429E4" w:rsidP="004429E4">
      <w:pPr>
        <w:jc w:val="center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B6479" w:rsidRPr="00426893" w:rsidRDefault="004429E4" w:rsidP="004429E4">
      <w:pPr>
        <w:tabs>
          <w:tab w:val="left" w:pos="12049"/>
          <w:tab w:val="left" w:pos="12333"/>
        </w:tabs>
        <w:jc w:val="center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A32766">
        <w:rPr>
          <w:color w:val="000000"/>
          <w:sz w:val="18"/>
          <w:szCs w:val="18"/>
        </w:rPr>
        <w:t xml:space="preserve">               </w:t>
      </w:r>
      <w:r w:rsidR="008526EB">
        <w:rPr>
          <w:color w:val="000000"/>
          <w:sz w:val="18"/>
          <w:szCs w:val="18"/>
        </w:rPr>
        <w:t xml:space="preserve">                                                  </w:t>
      </w:r>
      <w:r w:rsidRPr="00426893">
        <w:rPr>
          <w:color w:val="000000"/>
          <w:sz w:val="18"/>
          <w:szCs w:val="18"/>
        </w:rPr>
        <w:t xml:space="preserve"> </w:t>
      </w:r>
      <w:r w:rsidR="009B6479" w:rsidRPr="00426893">
        <w:rPr>
          <w:color w:val="000000"/>
          <w:sz w:val="18"/>
          <w:szCs w:val="18"/>
        </w:rPr>
        <w:t xml:space="preserve"> от </w:t>
      </w:r>
      <w:r w:rsidR="00A32766">
        <w:rPr>
          <w:color w:val="000000"/>
          <w:sz w:val="18"/>
          <w:szCs w:val="18"/>
        </w:rPr>
        <w:t>15.11.2022</w:t>
      </w:r>
      <w:r w:rsidR="009B6479" w:rsidRPr="00426893">
        <w:rPr>
          <w:color w:val="000000"/>
          <w:sz w:val="18"/>
          <w:szCs w:val="18"/>
        </w:rPr>
        <w:t xml:space="preserve"> №</w:t>
      </w:r>
      <w:r w:rsidR="00A32766">
        <w:rPr>
          <w:color w:val="000000"/>
          <w:sz w:val="18"/>
          <w:szCs w:val="18"/>
        </w:rPr>
        <w:t xml:space="preserve"> 708-п</w:t>
      </w:r>
      <w:r w:rsidR="009B6479" w:rsidRPr="00426893">
        <w:rPr>
          <w:color w:val="000000"/>
          <w:sz w:val="18"/>
          <w:szCs w:val="18"/>
        </w:rPr>
        <w:t xml:space="preserve">     </w:t>
      </w:r>
    </w:p>
    <w:p w:rsidR="00DD7525" w:rsidRPr="0042689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 w:cs="Times New Roman"/>
          <w:b w:val="0"/>
          <w:i/>
        </w:rPr>
        <w:t xml:space="preserve"> </w:t>
      </w:r>
    </w:p>
    <w:p w:rsidR="00016B14" w:rsidRPr="00426893" w:rsidRDefault="00016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26A" w:rsidRPr="00426893" w:rsidRDefault="00D7326A" w:rsidP="00D7326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893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</w:t>
      </w:r>
      <w:r w:rsidR="00720234" w:rsidRPr="00426893">
        <w:rPr>
          <w:rFonts w:ascii="Times New Roman" w:hAnsi="Times New Roman" w:cs="Times New Roman"/>
          <w:b w:val="0"/>
          <w:sz w:val="28"/>
          <w:szCs w:val="28"/>
        </w:rPr>
        <w:t>Управление имуществом и муниципальными финансами</w:t>
      </w:r>
      <w:r w:rsidRPr="00426893">
        <w:rPr>
          <w:rFonts w:ascii="Times New Roman" w:hAnsi="Times New Roman" w:cs="Times New Roman"/>
          <w:b w:val="0"/>
          <w:sz w:val="28"/>
          <w:szCs w:val="28"/>
        </w:rPr>
        <w:t>»</w:t>
      </w:r>
      <w:r w:rsidR="009B6479" w:rsidRPr="00426893">
        <w:rPr>
          <w:rFonts w:ascii="Times New Roman" w:hAnsi="Times New Roman" w:cs="Times New Roman"/>
          <w:b w:val="0"/>
          <w:sz w:val="28"/>
          <w:szCs w:val="28"/>
        </w:rPr>
        <w:t xml:space="preserve"> на 2023-2027 годы</w:t>
      </w:r>
    </w:p>
    <w:p w:rsidR="008B0015" w:rsidRPr="00426893" w:rsidRDefault="008B0015" w:rsidP="008B0015">
      <w:pPr>
        <w:jc w:val="center"/>
        <w:rPr>
          <w:b/>
          <w:color w:val="000000"/>
          <w:sz w:val="22"/>
          <w:szCs w:val="18"/>
        </w:rPr>
      </w:pPr>
    </w:p>
    <w:p w:rsidR="008B0015" w:rsidRPr="00426893" w:rsidRDefault="008B0015" w:rsidP="008B0015">
      <w:pPr>
        <w:jc w:val="center"/>
        <w:rPr>
          <w:rFonts w:cs="Times New Roman"/>
          <w:b/>
          <w:color w:val="000000"/>
          <w:sz w:val="22"/>
          <w:szCs w:val="18"/>
        </w:rPr>
      </w:pPr>
      <w:r w:rsidRPr="00426893">
        <w:rPr>
          <w:rFonts w:cs="Times New Roman"/>
          <w:b/>
          <w:color w:val="000000"/>
          <w:sz w:val="22"/>
          <w:szCs w:val="18"/>
        </w:rPr>
        <w:t>1. Паспорт муниципальной программы «Управление имуществом и муниципальными финансами» на 202</w:t>
      </w:r>
      <w:r w:rsidR="00CA5A28" w:rsidRPr="00426893">
        <w:rPr>
          <w:rFonts w:cs="Times New Roman"/>
          <w:b/>
          <w:color w:val="000000"/>
          <w:sz w:val="22"/>
          <w:szCs w:val="18"/>
        </w:rPr>
        <w:t>3 – 2027</w:t>
      </w:r>
      <w:r w:rsidRPr="00426893">
        <w:rPr>
          <w:rFonts w:cs="Times New Roman"/>
          <w:b/>
          <w:color w:val="000000"/>
          <w:sz w:val="22"/>
          <w:szCs w:val="18"/>
        </w:rPr>
        <w:t xml:space="preserve"> годы</w:t>
      </w:r>
    </w:p>
    <w:p w:rsidR="008B0015" w:rsidRPr="00426893" w:rsidRDefault="008B0015" w:rsidP="008B0015">
      <w:pPr>
        <w:tabs>
          <w:tab w:val="left" w:pos="6301"/>
        </w:tabs>
        <w:rPr>
          <w:rFonts w:cs="Times New Roman"/>
          <w:color w:val="000000"/>
          <w:sz w:val="14"/>
        </w:rPr>
      </w:pPr>
      <w:r w:rsidRPr="00426893">
        <w:rPr>
          <w:rFonts w:cs="Times New Roman"/>
          <w:color w:val="000000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8B0015" w:rsidRPr="00426893" w:rsidTr="00EA5411">
        <w:trPr>
          <w:trHeight w:val="269"/>
        </w:trPr>
        <w:tc>
          <w:tcPr>
            <w:tcW w:w="2802" w:type="dxa"/>
          </w:tcPr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Default="00C33348" w:rsidP="00B211B3">
            <w:pPr>
              <w:ind w:left="459" w:hanging="4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Первый заместитель главы </w:t>
            </w: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 Администрации городского округа  Лыткарино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В.В.Шаров</w:t>
            </w:r>
          </w:p>
          <w:p w:rsidR="00F0133C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Заместитель главы Администрации го</w:t>
            </w:r>
            <w:r w:rsidR="00F0133C">
              <w:rPr>
                <w:rFonts w:cs="Times New Roman"/>
                <w:color w:val="000000"/>
                <w:sz w:val="20"/>
                <w:szCs w:val="20"/>
              </w:rPr>
              <w:t xml:space="preserve">родского округа </w:t>
            </w:r>
            <w:r w:rsidR="00C33348">
              <w:rPr>
                <w:rFonts w:cs="Times New Roman"/>
                <w:color w:val="000000"/>
                <w:sz w:val="20"/>
                <w:szCs w:val="20"/>
              </w:rPr>
              <w:t>Лыткарино Е.В.</w:t>
            </w:r>
            <w:r w:rsidRPr="00426893">
              <w:rPr>
                <w:rFonts w:cs="Times New Roman"/>
                <w:color w:val="000000"/>
                <w:sz w:val="20"/>
                <w:szCs w:val="20"/>
              </w:rPr>
              <w:t>Бразгина</w:t>
            </w:r>
          </w:p>
          <w:p w:rsidR="00C33348" w:rsidRPr="00426893" w:rsidRDefault="00F0133C" w:rsidP="00B211B3">
            <w:pPr>
              <w:ind w:left="459" w:hanging="4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Заместитель главы Администрации – управляющий делами Администрации</w:t>
            </w: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cs="Times New Roman"/>
                <w:color w:val="000000"/>
                <w:sz w:val="20"/>
                <w:szCs w:val="20"/>
              </w:rPr>
              <w:t>родского округа Лыткарино Е.С.Завьялова</w:t>
            </w:r>
          </w:p>
        </w:tc>
      </w:tr>
      <w:tr w:rsidR="008B0015" w:rsidRPr="00426893" w:rsidTr="00EA5411">
        <w:trPr>
          <w:trHeight w:val="269"/>
        </w:trPr>
        <w:tc>
          <w:tcPr>
            <w:tcW w:w="2802" w:type="dxa"/>
          </w:tcPr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426893" w:rsidRDefault="008B0015" w:rsidP="00B211B3">
            <w:pPr>
              <w:ind w:left="459" w:hanging="4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8B0015" w:rsidRPr="00426893" w:rsidTr="00EA5411">
        <w:trPr>
          <w:trHeight w:val="269"/>
        </w:trPr>
        <w:tc>
          <w:tcPr>
            <w:tcW w:w="2802" w:type="dxa"/>
          </w:tcPr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426893" w:rsidRDefault="008B0015" w:rsidP="00B211B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8B0015" w:rsidRPr="00426893" w:rsidTr="00EA5411">
        <w:tc>
          <w:tcPr>
            <w:tcW w:w="2802" w:type="dxa"/>
          </w:tcPr>
          <w:p w:rsidR="00577A27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Цели муниципальной </w:t>
            </w:r>
          </w:p>
          <w:p w:rsidR="008B0015" w:rsidRPr="00426893" w:rsidRDefault="00577A27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прог</w:t>
            </w:r>
            <w:r w:rsidR="008B0015" w:rsidRPr="00426893">
              <w:rPr>
                <w:rFonts w:cs="Times New Roman"/>
                <w:color w:val="000000"/>
                <w:sz w:val="20"/>
                <w:szCs w:val="20"/>
              </w:rPr>
              <w:t xml:space="preserve">раммы </w:t>
            </w:r>
          </w:p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B0015" w:rsidRPr="00426893" w:rsidRDefault="008B0015" w:rsidP="005B68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42689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42689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42689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015" w:rsidRPr="00426893" w:rsidTr="00EA5411">
        <w:trPr>
          <w:trHeight w:val="514"/>
        </w:trPr>
        <w:tc>
          <w:tcPr>
            <w:tcW w:w="2802" w:type="dxa"/>
          </w:tcPr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Перечень подпрограмм муниципальной </w:t>
            </w:r>
          </w:p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426893" w:rsidRDefault="00CA5A28" w:rsidP="00CA5A28">
            <w:pPr>
              <w:jc w:val="both"/>
              <w:rPr>
                <w:rFonts w:eastAsiaTheme="minorEastAsia" w:cs="Times New Roman"/>
                <w:sz w:val="20"/>
                <w:szCs w:val="18"/>
              </w:rPr>
            </w:pPr>
            <w:r w:rsidRPr="00426893">
              <w:rPr>
                <w:rFonts w:eastAsiaTheme="minorEastAsia" w:cs="Times New Roman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426893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Cs w:val="18"/>
                <w:lang w:eastAsia="en-US"/>
              </w:rPr>
            </w:pPr>
            <w:r w:rsidRPr="00426893">
              <w:rPr>
                <w:rFonts w:ascii="Times New Roman" w:eastAsiaTheme="minorEastAsia" w:hAnsi="Times New Roman" w:cs="Times New Roman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426893" w:rsidRDefault="00CA5A28" w:rsidP="00CA5A2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eastAsiaTheme="minorEastAsia" w:cs="Times New Roman"/>
                <w:sz w:val="20"/>
                <w:szCs w:val="18"/>
              </w:rPr>
              <w:t>Подпрограмма 5</w:t>
            </w:r>
            <w:r w:rsidR="008B0015" w:rsidRPr="00426893">
              <w:rPr>
                <w:rFonts w:eastAsiaTheme="minorEastAsia" w:cs="Times New Roman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015" w:rsidRPr="00426893" w:rsidTr="00EA5411">
        <w:tc>
          <w:tcPr>
            <w:tcW w:w="2802" w:type="dxa"/>
            <w:vMerge w:val="restart"/>
          </w:tcPr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426893" w:rsidRDefault="008B0015" w:rsidP="005B6816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8B0015" w:rsidRPr="00426893" w:rsidTr="00EA5411">
        <w:trPr>
          <w:trHeight w:val="208"/>
        </w:trPr>
        <w:tc>
          <w:tcPr>
            <w:tcW w:w="2802" w:type="dxa"/>
            <w:vMerge/>
          </w:tcPr>
          <w:p w:rsidR="008B0015" w:rsidRPr="00426893" w:rsidRDefault="008B0015" w:rsidP="005B681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426893" w:rsidRDefault="008B0015" w:rsidP="005B6816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426893" w:rsidRDefault="008B0015" w:rsidP="00CA5A28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CA5A28" w:rsidRPr="0042689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426893" w:rsidRDefault="008B0015" w:rsidP="00CA5A28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CA5A28" w:rsidRPr="00426893">
              <w:rPr>
                <w:rFonts w:cs="Times New Roman"/>
                <w:color w:val="000000"/>
                <w:sz w:val="20"/>
                <w:szCs w:val="20"/>
              </w:rPr>
              <w:t xml:space="preserve">4 </w:t>
            </w:r>
            <w:r w:rsidRPr="00426893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426893" w:rsidRDefault="008B0015" w:rsidP="00CA5A28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CA5A28" w:rsidRPr="00426893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426893" w:rsidRDefault="008B0015" w:rsidP="00CA5A28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CA5A28" w:rsidRPr="00426893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426893" w:rsidRDefault="008B0015" w:rsidP="00CA5A28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CA5A28" w:rsidRPr="00426893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426893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03473" w:rsidRPr="00426893" w:rsidTr="00EA5411">
        <w:trPr>
          <w:trHeight w:val="69"/>
        </w:trPr>
        <w:tc>
          <w:tcPr>
            <w:tcW w:w="2802" w:type="dxa"/>
          </w:tcPr>
          <w:p w:rsidR="00F03473" w:rsidRPr="00426893" w:rsidRDefault="00F03473" w:rsidP="00F0347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Средства бюджета Московс-кой области</w:t>
            </w:r>
          </w:p>
        </w:tc>
        <w:tc>
          <w:tcPr>
            <w:tcW w:w="2127" w:type="dxa"/>
            <w:vAlign w:val="center"/>
          </w:tcPr>
          <w:p w:rsidR="00F03473" w:rsidRPr="00426893" w:rsidRDefault="00F03473" w:rsidP="00F03473">
            <w:pPr>
              <w:ind w:firstLine="3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426893" w:rsidRDefault="00F03473" w:rsidP="00F03473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426893" w:rsidRDefault="00F03473" w:rsidP="00F03473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426893" w:rsidRDefault="00F03473" w:rsidP="00F03473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426893" w:rsidRDefault="00F03473" w:rsidP="00F03473">
            <w:pPr>
              <w:ind w:left="459" w:hanging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426893" w:rsidRDefault="00F03473" w:rsidP="00F034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3473" w:rsidRPr="00426893" w:rsidTr="00EA5411">
        <w:tc>
          <w:tcPr>
            <w:tcW w:w="2802" w:type="dxa"/>
          </w:tcPr>
          <w:p w:rsidR="00F03473" w:rsidRPr="00426893" w:rsidRDefault="00F03473" w:rsidP="00F0347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03473" w:rsidRPr="00426893" w:rsidRDefault="00F03473" w:rsidP="00F034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1 315 877,4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F03473" w:rsidRPr="00426893" w:rsidRDefault="00F03473" w:rsidP="00F034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261 083,8</w:t>
            </w:r>
          </w:p>
        </w:tc>
        <w:tc>
          <w:tcPr>
            <w:tcW w:w="2126" w:type="dxa"/>
            <w:vAlign w:val="center"/>
          </w:tcPr>
          <w:p w:rsidR="00F03473" w:rsidRPr="00426893" w:rsidRDefault="00F03473" w:rsidP="00F03473">
            <w:pPr>
              <w:ind w:left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266 170,9</w:t>
            </w:r>
          </w:p>
        </w:tc>
        <w:tc>
          <w:tcPr>
            <w:tcW w:w="2127" w:type="dxa"/>
            <w:vAlign w:val="center"/>
          </w:tcPr>
          <w:p w:rsidR="00F03473" w:rsidRPr="00426893" w:rsidRDefault="00F03473" w:rsidP="00F03473">
            <w:pPr>
              <w:ind w:left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277 374,1</w:t>
            </w:r>
          </w:p>
        </w:tc>
        <w:tc>
          <w:tcPr>
            <w:tcW w:w="1984" w:type="dxa"/>
            <w:vAlign w:val="center"/>
          </w:tcPr>
          <w:p w:rsidR="00F03473" w:rsidRPr="00426893" w:rsidRDefault="00F03473" w:rsidP="00F03473">
            <w:pPr>
              <w:jc w:val="center"/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255 624,3</w:t>
            </w:r>
          </w:p>
        </w:tc>
        <w:tc>
          <w:tcPr>
            <w:tcW w:w="1982" w:type="dxa"/>
            <w:vAlign w:val="center"/>
          </w:tcPr>
          <w:p w:rsidR="00F03473" w:rsidRPr="00426893" w:rsidRDefault="00F03473" w:rsidP="00F03473">
            <w:pPr>
              <w:jc w:val="center"/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255 624,3</w:t>
            </w:r>
          </w:p>
        </w:tc>
      </w:tr>
      <w:tr w:rsidR="00F03473" w:rsidRPr="00426893" w:rsidTr="00EA5411">
        <w:tc>
          <w:tcPr>
            <w:tcW w:w="2802" w:type="dxa"/>
          </w:tcPr>
          <w:p w:rsidR="00F03473" w:rsidRPr="00426893" w:rsidRDefault="00F03473" w:rsidP="00F0347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03473" w:rsidRPr="00426893" w:rsidRDefault="00F03473" w:rsidP="00F034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1 318 970,4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F03473" w:rsidRPr="00426893" w:rsidRDefault="00F03473" w:rsidP="00F034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262 114,8</w:t>
            </w:r>
          </w:p>
        </w:tc>
        <w:tc>
          <w:tcPr>
            <w:tcW w:w="2126" w:type="dxa"/>
            <w:vAlign w:val="center"/>
          </w:tcPr>
          <w:p w:rsidR="00F03473" w:rsidRPr="00426893" w:rsidRDefault="00F03473" w:rsidP="00F034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267 201,9</w:t>
            </w:r>
          </w:p>
        </w:tc>
        <w:tc>
          <w:tcPr>
            <w:tcW w:w="2127" w:type="dxa"/>
            <w:vAlign w:val="center"/>
          </w:tcPr>
          <w:p w:rsidR="00F03473" w:rsidRPr="00426893" w:rsidRDefault="00F03473" w:rsidP="00F03473">
            <w:pPr>
              <w:ind w:left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278 405,1</w:t>
            </w:r>
          </w:p>
        </w:tc>
        <w:tc>
          <w:tcPr>
            <w:tcW w:w="1984" w:type="dxa"/>
            <w:vAlign w:val="center"/>
          </w:tcPr>
          <w:p w:rsidR="00F03473" w:rsidRPr="00426893" w:rsidRDefault="00F03473" w:rsidP="00F03473">
            <w:pPr>
              <w:jc w:val="center"/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255 624,3</w:t>
            </w:r>
          </w:p>
        </w:tc>
        <w:tc>
          <w:tcPr>
            <w:tcW w:w="1982" w:type="dxa"/>
            <w:vAlign w:val="center"/>
          </w:tcPr>
          <w:p w:rsidR="00F03473" w:rsidRPr="00426893" w:rsidRDefault="00F03473" w:rsidP="00F03473">
            <w:pPr>
              <w:jc w:val="center"/>
            </w:pPr>
            <w:r w:rsidRPr="00426893">
              <w:rPr>
                <w:rFonts w:cs="Times New Roman"/>
                <w:color w:val="000000"/>
                <w:sz w:val="20"/>
                <w:szCs w:val="20"/>
              </w:rPr>
              <w:t>255 624,3</w:t>
            </w:r>
          </w:p>
        </w:tc>
      </w:tr>
    </w:tbl>
    <w:p w:rsidR="00454C26" w:rsidRPr="00426893" w:rsidRDefault="00454C26">
      <w:pPr>
        <w:pStyle w:val="ConsPlusNormal"/>
        <w:rPr>
          <w:rFonts w:ascii="Times New Roman" w:hAnsi="Times New Roman" w:cs="Times New Roman"/>
          <w:color w:val="FF0000"/>
        </w:rPr>
      </w:pPr>
    </w:p>
    <w:p w:rsidR="00454C26" w:rsidRPr="00426893" w:rsidRDefault="00454C26">
      <w:pPr>
        <w:pStyle w:val="ConsPlusNormal"/>
        <w:rPr>
          <w:rFonts w:ascii="Times New Roman" w:hAnsi="Times New Roman" w:cs="Times New Roman"/>
          <w:color w:val="FF0000"/>
        </w:rPr>
      </w:pPr>
    </w:p>
    <w:p w:rsidR="00577A27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B211B3" w:rsidRDefault="00B211B3" w:rsidP="00454C26">
      <w:pPr>
        <w:rPr>
          <w:b/>
          <w:color w:val="000000"/>
          <w:sz w:val="20"/>
        </w:rPr>
      </w:pPr>
    </w:p>
    <w:p w:rsidR="008762EF" w:rsidRDefault="008762EF" w:rsidP="00454C26">
      <w:pPr>
        <w:rPr>
          <w:b/>
          <w:color w:val="000000"/>
          <w:sz w:val="20"/>
        </w:rPr>
      </w:pPr>
    </w:p>
    <w:p w:rsidR="00454C26" w:rsidRPr="00426893" w:rsidRDefault="00454C26" w:rsidP="00454C26">
      <w:pPr>
        <w:rPr>
          <w:b/>
          <w:color w:val="000000"/>
          <w:sz w:val="20"/>
          <w:szCs w:val="20"/>
        </w:rPr>
      </w:pPr>
      <w:r w:rsidRPr="00426893">
        <w:rPr>
          <w:b/>
          <w:color w:val="000000"/>
          <w:sz w:val="20"/>
        </w:rPr>
        <w:t xml:space="preserve">2. </w:t>
      </w:r>
      <w:r w:rsidRPr="00426893">
        <w:rPr>
          <w:b/>
          <w:color w:val="000000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454C26" w:rsidRPr="00426893" w:rsidRDefault="00454C26" w:rsidP="00454C26">
      <w:pPr>
        <w:rPr>
          <w:b/>
          <w:color w:val="000000"/>
          <w:sz w:val="16"/>
          <w:szCs w:val="20"/>
        </w:rPr>
      </w:pPr>
    </w:p>
    <w:p w:rsidR="00454C26" w:rsidRPr="00426893" w:rsidRDefault="00454C26" w:rsidP="00454C26">
      <w:pPr>
        <w:ind w:firstLine="708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</w:t>
      </w:r>
      <w:r w:rsidR="008762EF">
        <w:rPr>
          <w:color w:val="000000"/>
          <w:sz w:val="20"/>
          <w:szCs w:val="20"/>
        </w:rPr>
        <w:t>Федерации на перспективу до 2027</w:t>
      </w:r>
      <w:r w:rsidRPr="00426893">
        <w:rPr>
          <w:color w:val="000000"/>
          <w:sz w:val="20"/>
          <w:szCs w:val="20"/>
        </w:rPr>
        <w:t xml:space="preserve">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:rsidR="00454C26" w:rsidRPr="00426893" w:rsidRDefault="00454C26" w:rsidP="00454C26">
      <w:pPr>
        <w:ind w:firstLine="708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и</w:t>
      </w:r>
      <w:r w:rsidR="00C53EE6">
        <w:rPr>
          <w:color w:val="000000"/>
          <w:sz w:val="20"/>
          <w:szCs w:val="20"/>
        </w:rPr>
        <w:t>х</w:t>
      </w:r>
      <w:r w:rsidRPr="00426893">
        <w:rPr>
          <w:color w:val="000000"/>
          <w:sz w:val="20"/>
          <w:szCs w:val="20"/>
        </w:rPr>
        <w:t xml:space="preserve">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:rsidR="00454C26" w:rsidRPr="00426893" w:rsidRDefault="00454C26" w:rsidP="00454C26">
      <w:pPr>
        <w:ind w:firstLine="708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Указом Президента Российской Федерации от 28 апреля 2008 г.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454C26" w:rsidRPr="00426893" w:rsidRDefault="00454C26" w:rsidP="00454C26">
      <w:pPr>
        <w:ind w:firstLine="708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реализации </w:t>
      </w:r>
      <w:r w:rsidR="008762EF">
        <w:rPr>
          <w:color w:val="000000"/>
          <w:sz w:val="20"/>
          <w:szCs w:val="20"/>
        </w:rPr>
        <w:t xml:space="preserve">муниципальных программ городского округа </w:t>
      </w:r>
      <w:r w:rsidRPr="00426893">
        <w:rPr>
          <w:color w:val="000000"/>
          <w:sz w:val="20"/>
          <w:szCs w:val="20"/>
        </w:rPr>
        <w:t>Лыткарино.</w:t>
      </w:r>
    </w:p>
    <w:p w:rsidR="00454C26" w:rsidRPr="00426893" w:rsidRDefault="00454C26" w:rsidP="008762EF">
      <w:pPr>
        <w:ind w:firstLine="708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Уже созданы определенные предпосылки и выполнены определенные мероприятия в целях повышения эффективности муниципальной власти:</w:t>
      </w:r>
    </w:p>
    <w:p w:rsidR="00454C26" w:rsidRPr="00426893" w:rsidRDefault="00454C26" w:rsidP="00454C26">
      <w:pPr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454C26" w:rsidRPr="00426893" w:rsidRDefault="00454C26" w:rsidP="00454C26">
      <w:pPr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454C26" w:rsidRPr="00426893" w:rsidRDefault="00454C26" w:rsidP="00454C26">
      <w:pPr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реализован  комплекс мер по регламентации муниципальных услуг, по приведению в соответствие с действующим законодательством нормативных правовых актов города Лыткарино, регулирующих вопросы предоставления муниципальных услуг (выполнение функций);</w:t>
      </w:r>
    </w:p>
    <w:p w:rsidR="00454C26" w:rsidRPr="00426893" w:rsidRDefault="00454C26" w:rsidP="00454C26">
      <w:pPr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разработан Генеральный план развития городского округа Лыткарино.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бюджетных средств, обеспечения сбалансированности и обоснованности планов и стратегии развития города с учетом потребностей и предпочтений жителей, а также открытости органов Администрации городского округа Лыткарино и их подотчетности населению города.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областных и городских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 </w:t>
      </w:r>
    </w:p>
    <w:p w:rsidR="00454C26" w:rsidRPr="00426893" w:rsidRDefault="00454C26" w:rsidP="00454C26">
      <w:pPr>
        <w:ind w:firstLine="360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 </w:t>
      </w:r>
    </w:p>
    <w:p w:rsidR="00454C26" w:rsidRPr="00426893" w:rsidRDefault="00454C26" w:rsidP="00454C26">
      <w:pPr>
        <w:ind w:firstLine="360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Формирование сбалансированного бюджета городского округа Лыткарино на 202</w:t>
      </w:r>
      <w:r w:rsidR="008762EF">
        <w:rPr>
          <w:color w:val="000000"/>
          <w:sz w:val="20"/>
          <w:szCs w:val="20"/>
        </w:rPr>
        <w:t>3-2025</w:t>
      </w:r>
      <w:r w:rsidRPr="00426893">
        <w:rPr>
          <w:color w:val="000000"/>
          <w:sz w:val="20"/>
          <w:szCs w:val="20"/>
        </w:rPr>
        <w:t xml:space="preserve"> гг. делают значимой проблему повышения доходности бюджета муниципального образования «</w:t>
      </w:r>
      <w:r w:rsidR="000B11F5">
        <w:rPr>
          <w:color w:val="000000"/>
          <w:sz w:val="20"/>
          <w:szCs w:val="20"/>
        </w:rPr>
        <w:t xml:space="preserve">Городской округ </w:t>
      </w:r>
      <w:r w:rsidRPr="00426893">
        <w:rPr>
          <w:color w:val="000000"/>
          <w:sz w:val="20"/>
          <w:szCs w:val="20"/>
        </w:rPr>
        <w:t>Лыткарино Московской области</w:t>
      </w:r>
      <w:r w:rsidR="000B11F5">
        <w:rPr>
          <w:color w:val="000000"/>
          <w:sz w:val="20"/>
          <w:szCs w:val="20"/>
        </w:rPr>
        <w:t>»</w:t>
      </w:r>
      <w:r w:rsidRPr="00426893">
        <w:rPr>
          <w:color w:val="000000"/>
          <w:sz w:val="20"/>
          <w:szCs w:val="20"/>
        </w:rPr>
        <w:t xml:space="preserve"> за счет повышения эффективности управления и распоряжения объектами муниципальной собственности.</w:t>
      </w:r>
    </w:p>
    <w:p w:rsidR="00454C26" w:rsidRPr="00426893" w:rsidRDefault="00454C26" w:rsidP="00454C26">
      <w:pPr>
        <w:ind w:firstLine="360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:rsidR="00454C26" w:rsidRPr="00426893" w:rsidRDefault="00454C26" w:rsidP="00454C26">
      <w:pPr>
        <w:ind w:firstLine="567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:rsidR="00454C26" w:rsidRPr="00426893" w:rsidRDefault="00454C26" w:rsidP="00454C26">
      <w:pPr>
        <w:ind w:firstLine="567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 Лыткарино,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454C26" w:rsidRPr="00426893" w:rsidRDefault="00454C26" w:rsidP="00454C26">
      <w:pPr>
        <w:ind w:firstLine="567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454C26" w:rsidRPr="00426893" w:rsidRDefault="00454C26" w:rsidP="00454C26">
      <w:pPr>
        <w:ind w:firstLine="567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совершенствование приватизационных процедур;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454C26" w:rsidRPr="00426893" w:rsidRDefault="00454C26" w:rsidP="00454C26">
      <w:pPr>
        <w:ind w:firstLine="284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Использование  программно-целевого метода управления позволит:</w:t>
      </w:r>
    </w:p>
    <w:p w:rsidR="00454C26" w:rsidRPr="00426893" w:rsidRDefault="00454C26" w:rsidP="00454C26">
      <w:pPr>
        <w:ind w:firstLine="284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оптимизировать состав имущества, с целью выявления используемого не по целевому назначению и  вовлечения в хозяйственный оборот дополнительных площадей;</w:t>
      </w:r>
    </w:p>
    <w:p w:rsidR="00454C26" w:rsidRPr="00426893" w:rsidRDefault="00454C26" w:rsidP="00454C26">
      <w:pPr>
        <w:ind w:firstLine="284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 дополнительных земельных участков в налоговый оборот;</w:t>
      </w:r>
    </w:p>
    <w:p w:rsidR="00454C26" w:rsidRPr="00426893" w:rsidRDefault="00454C26" w:rsidP="00454C26">
      <w:pPr>
        <w:ind w:firstLine="284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повысить ликвидность имущества, составляющего казну муниципального образования «</w:t>
      </w:r>
      <w:r w:rsidR="000B11F5">
        <w:rPr>
          <w:color w:val="000000"/>
          <w:sz w:val="20"/>
          <w:szCs w:val="20"/>
        </w:rPr>
        <w:t xml:space="preserve">Городской округ </w:t>
      </w:r>
      <w:r w:rsidR="000B11F5" w:rsidRPr="00426893">
        <w:rPr>
          <w:color w:val="000000"/>
          <w:sz w:val="20"/>
          <w:szCs w:val="20"/>
        </w:rPr>
        <w:t>Лыткарино Московской области</w:t>
      </w:r>
      <w:r w:rsidRPr="00426893">
        <w:rPr>
          <w:color w:val="000000"/>
          <w:sz w:val="20"/>
          <w:szCs w:val="20"/>
        </w:rPr>
        <w:t>»;</w:t>
      </w:r>
    </w:p>
    <w:p w:rsidR="00454C26" w:rsidRPr="00426893" w:rsidRDefault="00454C26" w:rsidP="00454C26">
      <w:pPr>
        <w:ind w:firstLine="284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- решить социально значимые задачи.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мероприятия:</w:t>
      </w:r>
    </w:p>
    <w:p w:rsidR="00454C26" w:rsidRPr="00D620ED" w:rsidRDefault="00454C26" w:rsidP="00454C26">
      <w:pPr>
        <w:ind w:right="-108"/>
        <w:jc w:val="both"/>
        <w:rPr>
          <w:rFonts w:eastAsia="Calibri"/>
          <w:bCs/>
          <w:color w:val="000000"/>
          <w:sz w:val="22"/>
          <w:szCs w:val="20"/>
        </w:rPr>
      </w:pPr>
      <w:r w:rsidRPr="00426893">
        <w:rPr>
          <w:rFonts w:eastAsia="Calibri"/>
          <w:bCs/>
          <w:color w:val="000000"/>
          <w:sz w:val="20"/>
          <w:szCs w:val="20"/>
        </w:rPr>
        <w:t xml:space="preserve">- </w:t>
      </w:r>
      <w:r w:rsidR="00D620ED">
        <w:rPr>
          <w:rFonts w:cs="Times New Roman"/>
          <w:bCs/>
          <w:iCs/>
          <w:sz w:val="20"/>
          <w:szCs w:val="18"/>
        </w:rPr>
        <w:t>о</w:t>
      </w:r>
      <w:r w:rsidR="00D620ED" w:rsidRPr="00D620ED">
        <w:rPr>
          <w:rFonts w:cs="Times New Roman"/>
          <w:bCs/>
          <w:iCs/>
          <w:sz w:val="20"/>
          <w:szCs w:val="18"/>
        </w:rPr>
        <w:t>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</w:r>
      <w:r w:rsidR="00D620ED">
        <w:rPr>
          <w:rFonts w:cs="Times New Roman"/>
          <w:bCs/>
          <w:iCs/>
          <w:sz w:val="20"/>
          <w:szCs w:val="18"/>
        </w:rPr>
        <w:t>.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 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В муниципальном образовании </w:t>
      </w:r>
      <w:r w:rsidR="00D620ED" w:rsidRPr="00426893">
        <w:rPr>
          <w:color w:val="000000"/>
          <w:sz w:val="20"/>
          <w:szCs w:val="20"/>
        </w:rPr>
        <w:t>«</w:t>
      </w:r>
      <w:r w:rsidR="00D620ED">
        <w:rPr>
          <w:color w:val="000000"/>
          <w:sz w:val="20"/>
          <w:szCs w:val="20"/>
        </w:rPr>
        <w:t xml:space="preserve">Городской округ </w:t>
      </w:r>
      <w:r w:rsidR="00D620ED" w:rsidRPr="00426893">
        <w:rPr>
          <w:color w:val="000000"/>
          <w:sz w:val="20"/>
          <w:szCs w:val="20"/>
        </w:rPr>
        <w:t>Лыткарино Московской области</w:t>
      </w:r>
      <w:r w:rsidR="00D620ED">
        <w:rPr>
          <w:color w:val="000000"/>
          <w:sz w:val="20"/>
          <w:szCs w:val="20"/>
        </w:rPr>
        <w:t xml:space="preserve">» </w:t>
      </w:r>
      <w:r w:rsidRPr="00426893">
        <w:rPr>
          <w:color w:val="000000"/>
          <w:sz w:val="20"/>
          <w:szCs w:val="20"/>
        </w:rPr>
        <w:t>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 xml:space="preserve"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 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:rsidR="00454C26" w:rsidRPr="00426893" w:rsidRDefault="00454C26" w:rsidP="00454C26">
      <w:pPr>
        <w:ind w:firstLine="426"/>
        <w:jc w:val="both"/>
        <w:rPr>
          <w:color w:val="000000"/>
          <w:sz w:val="20"/>
          <w:szCs w:val="20"/>
        </w:rPr>
      </w:pPr>
      <w:r w:rsidRPr="00426893">
        <w:rPr>
          <w:color w:val="000000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:rsidR="00454C26" w:rsidRPr="00426893" w:rsidRDefault="00454C26" w:rsidP="00454C26">
      <w:pPr>
        <w:jc w:val="both"/>
        <w:rPr>
          <w:color w:val="000000"/>
          <w:sz w:val="20"/>
          <w:szCs w:val="20"/>
        </w:rPr>
      </w:pPr>
    </w:p>
    <w:p w:rsidR="00454C26" w:rsidRPr="00426893" w:rsidRDefault="00454C26" w:rsidP="00454C26">
      <w:pPr>
        <w:jc w:val="both"/>
        <w:rPr>
          <w:color w:val="000000"/>
          <w:sz w:val="20"/>
          <w:szCs w:val="20"/>
        </w:rPr>
      </w:pPr>
    </w:p>
    <w:p w:rsidR="00E6679F" w:rsidRPr="00426893" w:rsidRDefault="00E6679F" w:rsidP="00454C26">
      <w:pPr>
        <w:jc w:val="both"/>
        <w:rPr>
          <w:color w:val="000000"/>
          <w:sz w:val="20"/>
          <w:szCs w:val="20"/>
        </w:rPr>
      </w:pPr>
    </w:p>
    <w:p w:rsidR="00E6679F" w:rsidRPr="00426893" w:rsidRDefault="00E6679F" w:rsidP="00454C26">
      <w:pPr>
        <w:jc w:val="both"/>
        <w:rPr>
          <w:color w:val="000000"/>
          <w:sz w:val="20"/>
          <w:szCs w:val="20"/>
        </w:rPr>
      </w:pPr>
    </w:p>
    <w:p w:rsidR="00454C26" w:rsidRPr="00426893" w:rsidRDefault="00454C26" w:rsidP="00454C26">
      <w:pPr>
        <w:widowControl w:val="0"/>
        <w:jc w:val="center"/>
        <w:rPr>
          <w:b/>
          <w:color w:val="000000"/>
          <w:sz w:val="22"/>
        </w:rPr>
      </w:pPr>
      <w:r w:rsidRPr="00426893">
        <w:rPr>
          <w:b/>
          <w:color w:val="000000"/>
          <w:sz w:val="22"/>
        </w:rPr>
        <w:t>3. Планируемые результаты реализации муниципальной программы «Управление имуществом и м</w:t>
      </w:r>
      <w:r w:rsidR="00105A86" w:rsidRPr="00426893">
        <w:rPr>
          <w:b/>
          <w:color w:val="000000"/>
          <w:sz w:val="22"/>
        </w:rPr>
        <w:t>униципальными финансами» на 2023 – 2027</w:t>
      </w:r>
      <w:r w:rsidRPr="00426893">
        <w:rPr>
          <w:b/>
          <w:color w:val="000000"/>
          <w:sz w:val="22"/>
        </w:rPr>
        <w:t xml:space="preserve"> годы</w:t>
      </w:r>
    </w:p>
    <w:p w:rsidR="00454C26" w:rsidRPr="00426893" w:rsidRDefault="00454C26" w:rsidP="00454C26">
      <w:pPr>
        <w:widowControl w:val="0"/>
        <w:rPr>
          <w:b/>
          <w:color w:val="000000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1"/>
        <w:gridCol w:w="1418"/>
      </w:tblGrid>
      <w:tr w:rsidR="00105A86" w:rsidRPr="00426893" w:rsidTr="00EA5411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 xml:space="preserve">№ </w:t>
            </w:r>
          </w:p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(Показатель реализации мероприятий)</w:t>
            </w:r>
            <w:r w:rsidRPr="00426893">
              <w:rPr>
                <w:rStyle w:val="a5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105A86" w:rsidRPr="00426893" w:rsidRDefault="00105A86" w:rsidP="005B6816">
            <w:pPr>
              <w:rPr>
                <w:sz w:val="18"/>
                <w:szCs w:val="18"/>
              </w:rPr>
            </w:pPr>
          </w:p>
          <w:p w:rsidR="00105A86" w:rsidRPr="00426893" w:rsidRDefault="00105A86" w:rsidP="005B6816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 xml:space="preserve">Базовое значение показателя на начало реализации </w:t>
            </w:r>
          </w:p>
          <w:p w:rsidR="00105A86" w:rsidRPr="00426893" w:rsidRDefault="00105A86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426893" w:rsidRDefault="00C636BD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rFonts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426893" w:rsidRDefault="00C636BD" w:rsidP="00C636B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26893">
              <w:rPr>
                <w:rFonts w:cs="Times New Roman"/>
                <w:color w:val="000000"/>
                <w:sz w:val="16"/>
                <w:szCs w:val="16"/>
              </w:rPr>
              <w:t>Номер подпрограммы, мероприятий, оказывающих  влияние на достижение показателя</w:t>
            </w:r>
            <w:r w:rsidRPr="00426893">
              <w:rPr>
                <w:rFonts w:cs="Times New Roman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105A86" w:rsidRPr="00426893" w:rsidTr="00EA5411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2023 год</w:t>
            </w:r>
          </w:p>
          <w:p w:rsidR="00105A86" w:rsidRPr="00426893" w:rsidRDefault="00105A86" w:rsidP="005B6816">
            <w:pPr>
              <w:rPr>
                <w:color w:val="000000"/>
                <w:sz w:val="18"/>
                <w:szCs w:val="18"/>
              </w:rPr>
            </w:pPr>
          </w:p>
          <w:p w:rsidR="00105A86" w:rsidRPr="00426893" w:rsidRDefault="00105A86" w:rsidP="005B6816">
            <w:pPr>
              <w:tabs>
                <w:tab w:val="left" w:pos="705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105A8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105A8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105A8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05A86" w:rsidRPr="00426893" w:rsidTr="00EA5411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5A86" w:rsidRPr="00426893" w:rsidTr="00EA5411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86" w:rsidRPr="00426893" w:rsidRDefault="00105A86" w:rsidP="005B6816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6" w:rsidRPr="00426893" w:rsidRDefault="00105A86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A86" w:rsidRPr="00426893" w:rsidRDefault="00105A86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Приоритетный целевой показатель</w:t>
            </w:r>
          </w:p>
          <w:p w:rsidR="00105A86" w:rsidRPr="00426893" w:rsidRDefault="00105A86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Рейтинг-45</w:t>
            </w:r>
          </w:p>
          <w:p w:rsidR="00105A86" w:rsidRPr="00426893" w:rsidRDefault="00105A86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426893" w:rsidRDefault="00105A86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426893" w:rsidRDefault="00C636BD" w:rsidP="00C636B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1.03.01</w:t>
            </w:r>
          </w:p>
        </w:tc>
      </w:tr>
      <w:tr w:rsidR="00C74C89" w:rsidRPr="00426893" w:rsidTr="00EA5411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426893" w:rsidRDefault="00C74C89" w:rsidP="005B6816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Приоритетный целевой показатель</w:t>
            </w:r>
          </w:p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Рейтинг-45</w:t>
            </w:r>
          </w:p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62344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1.02.01</w:t>
            </w:r>
          </w:p>
          <w:p w:rsidR="00C74C89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1.02.02</w:t>
            </w:r>
          </w:p>
          <w:p w:rsidR="00C74C89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1.02.03</w:t>
            </w:r>
          </w:p>
        </w:tc>
      </w:tr>
      <w:tr w:rsidR="00C74C89" w:rsidRPr="00426893" w:rsidTr="00EA5411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426893" w:rsidRDefault="00C74C89" w:rsidP="005B6816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Приоритетный целевой показатель</w:t>
            </w:r>
          </w:p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Рейтинг-45</w:t>
            </w:r>
          </w:p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62344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1.03.01</w:t>
            </w:r>
          </w:p>
        </w:tc>
      </w:tr>
      <w:tr w:rsidR="00C74C89" w:rsidRPr="00426893" w:rsidTr="00EA5411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426893" w:rsidRDefault="00C74C89" w:rsidP="005B6816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Приоритетный целевой показатель</w:t>
            </w:r>
          </w:p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Рейтинг-45</w:t>
            </w:r>
          </w:p>
          <w:p w:rsidR="00C74C89" w:rsidRPr="00426893" w:rsidRDefault="00C74C89" w:rsidP="00B637AD">
            <w:pPr>
              <w:ind w:right="34"/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62344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C636B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1.02.01</w:t>
            </w:r>
          </w:p>
          <w:p w:rsidR="00C74C89" w:rsidRPr="00426893" w:rsidRDefault="00C74C89" w:rsidP="00C636B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1.02.02</w:t>
            </w:r>
          </w:p>
          <w:p w:rsidR="00C74C89" w:rsidRPr="00426893" w:rsidRDefault="00C74C89" w:rsidP="00C636B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1.02.03</w:t>
            </w:r>
          </w:p>
        </w:tc>
      </w:tr>
      <w:tr w:rsidR="00C74C89" w:rsidRPr="00426893" w:rsidTr="00EA5411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426893" w:rsidRDefault="00C74C89" w:rsidP="005B6816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Приоритетный целевой показатель</w:t>
            </w:r>
          </w:p>
          <w:p w:rsidR="00C74C89" w:rsidRPr="00426893" w:rsidRDefault="00C74C89" w:rsidP="005B6816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62344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426893" w:rsidRDefault="00C74C89" w:rsidP="009926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1.02.01, 1.02.02</w:t>
            </w:r>
          </w:p>
          <w:p w:rsidR="00C74C89" w:rsidRPr="00426893" w:rsidRDefault="00C74C89" w:rsidP="009926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1.02.03</w:t>
            </w:r>
          </w:p>
        </w:tc>
      </w:tr>
      <w:tr w:rsidR="00C74C89" w:rsidRPr="00426893" w:rsidTr="00EA5411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C89" w:rsidRPr="00426893" w:rsidRDefault="00C74C89" w:rsidP="005B6816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C74C89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rFonts w:cs="Times New Roman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62344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1.04.01</w:t>
            </w:r>
          </w:p>
        </w:tc>
      </w:tr>
      <w:tr w:rsidR="00C74C89" w:rsidRPr="00426893" w:rsidTr="00EA541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B61DB4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Приоритетный целевой показатель</w:t>
            </w:r>
          </w:p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Рейтинг-45</w:t>
            </w:r>
          </w:p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62344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1.04.01</w:t>
            </w:r>
          </w:p>
        </w:tc>
      </w:tr>
      <w:tr w:rsidR="00C74C89" w:rsidRPr="00426893" w:rsidTr="00EA5411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5B6816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Приоритетный целевой показатель</w:t>
            </w:r>
          </w:p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62344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1.04.01</w:t>
            </w:r>
          </w:p>
        </w:tc>
      </w:tr>
      <w:tr w:rsidR="00C74C89" w:rsidRPr="00426893" w:rsidTr="00EA5411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5B6816">
            <w:pPr>
              <w:pStyle w:val="a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Приоритетный целевой показатель</w:t>
            </w:r>
          </w:p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Государственная программа МО "Предпринимательство Подмосковья" на 2017-2024 годы"</w:t>
            </w:r>
          </w:p>
          <w:p w:rsidR="00C74C89" w:rsidRPr="00426893" w:rsidRDefault="00C74C89" w:rsidP="00C74C89">
            <w:pPr>
              <w:jc w:val="center"/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Региональный проект «Улучше</w:t>
            </w:r>
            <w:r w:rsidR="00EA5411" w:rsidRPr="00426893">
              <w:rPr>
                <w:color w:val="000000"/>
                <w:sz w:val="17"/>
                <w:szCs w:val="17"/>
              </w:rPr>
              <w:t>ние условий ведения предпринима</w:t>
            </w:r>
            <w:r w:rsidRPr="00426893">
              <w:rPr>
                <w:color w:val="000000"/>
                <w:sz w:val="17"/>
                <w:szCs w:val="17"/>
              </w:rPr>
              <w:t>тельс</w:t>
            </w:r>
            <w:r w:rsidR="00EA5411" w:rsidRPr="00426893">
              <w:rPr>
                <w:color w:val="000000"/>
                <w:sz w:val="17"/>
                <w:szCs w:val="17"/>
              </w:rPr>
              <w:t>-</w:t>
            </w:r>
            <w:r w:rsidRPr="00426893">
              <w:rPr>
                <w:color w:val="000000"/>
                <w:sz w:val="17"/>
                <w:szCs w:val="17"/>
              </w:rPr>
              <w:t>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426893" w:rsidRDefault="00C74C89" w:rsidP="005B6816">
            <w:pPr>
              <w:jc w:val="center"/>
              <w:rPr>
                <w:color w:val="000000"/>
                <w:sz w:val="18"/>
                <w:szCs w:val="18"/>
              </w:rPr>
            </w:pPr>
            <w:r w:rsidRPr="0042689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62344D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КУИ г.Лыткарино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426893" w:rsidRDefault="00C74C89" w:rsidP="005B6816">
            <w:pPr>
              <w:rPr>
                <w:color w:val="000000"/>
                <w:sz w:val="17"/>
                <w:szCs w:val="17"/>
              </w:rPr>
            </w:pPr>
            <w:r w:rsidRPr="00426893">
              <w:rPr>
                <w:color w:val="000000"/>
                <w:sz w:val="17"/>
                <w:szCs w:val="17"/>
              </w:rPr>
              <w:t>1.04.01</w:t>
            </w:r>
          </w:p>
        </w:tc>
      </w:tr>
    </w:tbl>
    <w:p w:rsidR="00454C26" w:rsidRPr="00426893" w:rsidRDefault="00454C26" w:rsidP="00454C26">
      <w:pPr>
        <w:tabs>
          <w:tab w:val="left" w:pos="4140"/>
          <w:tab w:val="center" w:pos="7725"/>
        </w:tabs>
        <w:jc w:val="center"/>
        <w:rPr>
          <w:b/>
          <w:color w:val="000000"/>
          <w:sz w:val="22"/>
          <w:szCs w:val="20"/>
        </w:rPr>
      </w:pPr>
    </w:p>
    <w:p w:rsidR="00E60CBB" w:rsidRPr="00426893" w:rsidRDefault="00E60CBB" w:rsidP="00E60CB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426893">
        <w:rPr>
          <w:rFonts w:ascii="Times New Roman" w:hAnsi="Times New Roman" w:cs="Times New Roman"/>
          <w:sz w:val="24"/>
          <w:szCs w:val="28"/>
        </w:rPr>
        <w:t>4</w:t>
      </w:r>
      <w:r w:rsidRPr="00426893">
        <w:rPr>
          <w:rFonts w:ascii="Times New Roman" w:hAnsi="Times New Roman"/>
          <w:b/>
          <w:color w:val="000000"/>
        </w:rPr>
        <w:t>. Методика расчета значений целевых показателей муниципальной программы Московской области</w:t>
      </w:r>
    </w:p>
    <w:p w:rsidR="00E60CBB" w:rsidRPr="00426893" w:rsidRDefault="00E60CBB" w:rsidP="00E60CB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426893">
        <w:rPr>
          <w:rFonts w:ascii="Times New Roman" w:hAnsi="Times New Roman"/>
          <w:b/>
          <w:color w:val="000000"/>
        </w:rPr>
        <w:t>«Управление имуществом и муниципальными финансами»</w:t>
      </w:r>
    </w:p>
    <w:p w:rsidR="00E60CBB" w:rsidRPr="00426893" w:rsidRDefault="00E60CBB" w:rsidP="00E60CBB">
      <w:pPr>
        <w:pStyle w:val="af4"/>
        <w:jc w:val="center"/>
        <w:rPr>
          <w:rFonts w:ascii="Times New Roman" w:hAnsi="Times New Roman"/>
          <w:b/>
          <w:color w:val="000000"/>
        </w:rPr>
      </w:pPr>
    </w:p>
    <w:tbl>
      <w:tblPr>
        <w:tblW w:w="1474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9"/>
        <w:gridCol w:w="621"/>
        <w:gridCol w:w="8196"/>
        <w:gridCol w:w="1701"/>
        <w:gridCol w:w="1417"/>
      </w:tblGrid>
      <w:tr w:rsidR="00E60CBB" w:rsidRPr="00426893" w:rsidTr="00312CB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E60CBB" w:rsidRPr="00426893" w:rsidTr="00312CBE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60CBB" w:rsidRPr="00426893" w:rsidTr="00312CBE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56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9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196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СЗ = Пир + Д,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2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СЗ.</m:t>
              </m:r>
            </m:oMath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2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направлена досудебная претензия.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К1 – понижающий коэффициент 0,1.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К2 – понижающий коэффициент 0,5.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ведется исполнительное производство;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*100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426893" w:rsidRDefault="00E60CBB" w:rsidP="00312CBE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39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СЗ = Пир + Д,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СЗ.</m:t>
              </m:r>
            </m:oMath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направлена досудебная претензия.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К1 – понижающий коэффициент 0,1.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К2 – понижающий коэффициент 0,5.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ведется исполнительное производство;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*100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39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E60CBB" w:rsidRPr="00426893" w:rsidRDefault="00E60CBB" w:rsidP="00312CBE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Плановое з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>начение показателя: 1 квартал-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25%;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2 квартал-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50%;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3 квартал-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75%; 4 квартал – 100% (год).</w:t>
            </w:r>
          </w:p>
        </w:tc>
        <w:tc>
          <w:tcPr>
            <w:tcW w:w="1701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39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E60CBB" w:rsidRPr="00426893" w:rsidRDefault="00E60CBB" w:rsidP="00312CBE">
            <w:pPr>
              <w:pStyle w:val="af4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показателя: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25%;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2 квартал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50%;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3 квартал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– 75%;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4 квартал – 100% 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(год).</w:t>
            </w:r>
          </w:p>
        </w:tc>
        <w:tc>
          <w:tcPr>
            <w:tcW w:w="170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39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426893">
              <w:rPr>
                <w:rFonts w:ascii="Times New Roman" w:eastAsia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E60CBB" w:rsidRPr="00426893" w:rsidRDefault="00E60CBB" w:rsidP="00197868">
            <w:pPr>
              <w:pStyle w:val="af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39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Исполнение показателя вычисляется, исходя из выполнения плана по: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выездным обследованиям земель;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проверкам земель;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перерасчету земельного налога на земельные участки;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борьбе с борщевиком Сосновского;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- привлечению к административной ответственности за нарушение земельного законодательства.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Пз=ВО*0,4+Пр*0,2+Н*0,1+Б*0,1+Ш*0,1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Пз – показатель «Проверка использования земель» (%);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Пр – процентное исполнение показателя по проверкам земель;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Б - процентное исполнение показателя по борьбе с борщевиком Сосновского;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*100%</m:t>
                  </m:r>
                </m:e>
              </m:d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процентного исполнения показателя по проверкам земель (Пр)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Пр=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*100%</m:t>
                  </m:r>
                </m:e>
              </m:d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Пр – процентное исполнение показателя по проверкам земель;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Пр (факт) – количество земельных участков, в отношении которых проведены проверки;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Пр (план) – количество земельных участков, подлежащих проверкам.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*100%</m:t>
                  </m:r>
                </m:e>
              </m:d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Н (пр) – количество земельных участков, по которым материалы выездных обследований приняты в работу налоговыми органами;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*100%</m:t>
                  </m:r>
                </m:e>
              </m:d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Б – процентное исполнение показателя по борьбе с борщевиком Сосновского;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Ш=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*100%</m:t>
                  </m:r>
                </m:e>
              </m:d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Ш (гзн) – количество земельных участков, по которым органами госземнадзора принято решение о привлечении к административной ответственности;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Ш (нар) – количество земельных участков, в отношении которых выявлено нарушен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>ие земельного законодательства.</w:t>
            </w:r>
          </w:p>
        </w:tc>
        <w:tc>
          <w:tcPr>
            <w:tcW w:w="170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«Управление», ЕГИС ОКНД</w:t>
            </w:r>
          </w:p>
        </w:tc>
        <w:tc>
          <w:tcPr>
            <w:tcW w:w="141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39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Доля объектов недвижимого имущества, поставленных на ГКУ </w:t>
            </w: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по результатам МЗК</w:t>
            </w:r>
          </w:p>
        </w:tc>
        <w:tc>
          <w:tcPr>
            <w:tcW w:w="62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6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%, </m:t>
                </m:r>
              </m:oMath>
            </m:oMathPara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8562283"/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0"/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принятии мер к самовольным постройкам.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:rsidR="00E60CBB" w:rsidRPr="00426893" w:rsidRDefault="00E60CBB" w:rsidP="00312CBE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показателя: 1 квартал - 5%; 2 квартал - 20%;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3 квартал - 40%; 4 квартал (год) - 50%.</w:t>
            </w:r>
          </w:p>
        </w:tc>
        <w:tc>
          <w:tcPr>
            <w:tcW w:w="170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Минмособлимущество, данные, внесенные ОМС в ГАС «Управление»</w:t>
            </w:r>
          </w:p>
        </w:tc>
        <w:tc>
          <w:tcPr>
            <w:tcW w:w="141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239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Пзн – Процент собираемости земельного налога.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Система ГАС «Управление», </w:t>
            </w: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E60CBB" w:rsidRPr="00426893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по формуле: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Па – процент проведенных аукционов, %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E60CBB" w:rsidRPr="00426893" w:rsidRDefault="00E60CBB" w:rsidP="00312CBE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Амсп – количество аукционов на право заключения договоров аренды земельных участков для субъектов малого и 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>среднего предпринимательства.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показателя: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 квартал - 5%;</w:t>
            </w:r>
            <w:r w:rsidR="00312CBE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 квартал - 10%; 3 квартал - 15%;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«Управление», ОМС,</w:t>
            </w:r>
          </w:p>
          <w:p w:rsidR="00E60CBB" w:rsidRPr="00426893" w:rsidRDefault="00E60CBB" w:rsidP="0019786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br/>
              <w:t>по конкурентной политике 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426893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268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:rsidR="00CA5A28" w:rsidRPr="00426893" w:rsidRDefault="00577A27" w:rsidP="00577A2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  <w:r w:rsidRPr="00426893">
        <w:rPr>
          <w:rFonts w:ascii="Times New Roman" w:hAnsi="Times New Roman" w:cs="Times New Roman"/>
          <w:color w:val="FF0000"/>
        </w:rPr>
        <w:tab/>
      </w:r>
    </w:p>
    <w:p w:rsidR="00577A27" w:rsidRPr="00426893" w:rsidRDefault="00577A27" w:rsidP="00577A2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</w:p>
    <w:p w:rsidR="00577A27" w:rsidRPr="00426893" w:rsidRDefault="00577A27" w:rsidP="00577A2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</w:p>
    <w:p w:rsidR="00577A27" w:rsidRPr="00426893" w:rsidRDefault="00577A27" w:rsidP="00577A2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</w:p>
    <w:p w:rsidR="00016B14" w:rsidRPr="00426893" w:rsidRDefault="002D0F54" w:rsidP="00E60CB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426893">
        <w:rPr>
          <w:rFonts w:ascii="Times New Roman" w:hAnsi="Times New Roman"/>
          <w:b/>
          <w:color w:val="000000"/>
        </w:rPr>
        <w:t>5</w:t>
      </w:r>
      <w:r w:rsidR="00E60CBB" w:rsidRPr="00426893">
        <w:rPr>
          <w:rFonts w:ascii="Times New Roman" w:hAnsi="Times New Roman"/>
          <w:b/>
          <w:color w:val="000000"/>
        </w:rPr>
        <w:t>.</w:t>
      </w:r>
      <w:r w:rsidR="001E34BE" w:rsidRPr="00426893">
        <w:rPr>
          <w:rFonts w:ascii="Times New Roman" w:hAnsi="Times New Roman"/>
          <w:b/>
          <w:color w:val="000000"/>
        </w:rPr>
        <w:t xml:space="preserve"> Перечень мероприятий</w:t>
      </w:r>
      <w:r w:rsidR="00D337F0" w:rsidRPr="00426893">
        <w:rPr>
          <w:rFonts w:ascii="Times New Roman" w:hAnsi="Times New Roman"/>
          <w:b/>
          <w:color w:val="000000"/>
        </w:rPr>
        <w:t xml:space="preserve">  </w:t>
      </w:r>
      <w:r w:rsidR="001E34BE" w:rsidRPr="00426893">
        <w:rPr>
          <w:rFonts w:ascii="Times New Roman" w:hAnsi="Times New Roman"/>
          <w:b/>
          <w:color w:val="000000"/>
        </w:rPr>
        <w:t>Подпрограмм</w:t>
      </w:r>
      <w:r w:rsidR="00E60CBB" w:rsidRPr="00426893">
        <w:rPr>
          <w:rFonts w:ascii="Times New Roman" w:hAnsi="Times New Roman"/>
          <w:b/>
          <w:color w:val="000000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426893" w:rsidRDefault="00484D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133"/>
        <w:gridCol w:w="1134"/>
        <w:gridCol w:w="1559"/>
        <w:gridCol w:w="1134"/>
        <w:gridCol w:w="855"/>
        <w:gridCol w:w="14"/>
        <w:gridCol w:w="20"/>
        <w:gridCol w:w="379"/>
        <w:gridCol w:w="8"/>
        <w:gridCol w:w="143"/>
        <w:gridCol w:w="567"/>
        <w:gridCol w:w="59"/>
        <w:gridCol w:w="367"/>
        <w:gridCol w:w="134"/>
        <w:gridCol w:w="431"/>
        <w:gridCol w:w="1140"/>
        <w:gridCol w:w="7"/>
        <w:gridCol w:w="75"/>
        <w:gridCol w:w="734"/>
        <w:gridCol w:w="18"/>
        <w:gridCol w:w="10"/>
        <w:gridCol w:w="841"/>
        <w:gridCol w:w="7"/>
        <w:gridCol w:w="1137"/>
        <w:gridCol w:w="7"/>
        <w:gridCol w:w="1268"/>
      </w:tblGrid>
      <w:tr w:rsidR="00E6679F" w:rsidRPr="00426893" w:rsidTr="00E6679F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6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E6679F" w:rsidRPr="00426893" w:rsidTr="00E6679F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426893" w:rsidRDefault="00E6679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CB" w:rsidRPr="00426893" w:rsidTr="00E6679F">
        <w:trPr>
          <w:trHeight w:val="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46E1C" w:rsidRPr="00426893" w:rsidTr="00E6679F"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C" w:rsidRPr="00426893" w:rsidRDefault="005A745B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EA5411" w:rsidRPr="00426893" w:rsidTr="00EA5411">
        <w:trPr>
          <w:trHeight w:val="4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119 820,0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24 064,0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24 064,0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24 064,0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24 064,0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КУИ г.Лыткарино, Администрация г.о. Лыткраино</w:t>
            </w:r>
          </w:p>
        </w:tc>
      </w:tr>
      <w:tr w:rsidR="00EA5411" w:rsidRPr="00426893" w:rsidTr="00EA5411">
        <w:trPr>
          <w:trHeight w:val="12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</w:t>
            </w:r>
            <w:r w:rsidRPr="00426893">
              <w:rPr>
                <w:rFonts w:ascii="Times New Roman" w:hAnsi="Times New Roman" w:cs="Times New Roman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411" w:rsidRPr="00426893" w:rsidTr="00EA541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119 820,0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24 064,0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24 064,0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24 064,0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426893" w:rsidRDefault="00EA5411" w:rsidP="00EA5411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24 064,0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426893" w:rsidRDefault="00EA541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691D66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Мероприятие 02.01.</w:t>
            </w:r>
          </w:p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62 7</w:t>
            </w:r>
            <w:r w:rsidR="009F27D2" w:rsidRPr="0042689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</w:t>
            </w:r>
            <w:r w:rsidR="00691D66" w:rsidRPr="004268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12 554,0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12 554,0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12 554,0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12 554,0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691D66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</w:t>
            </w:r>
            <w:r w:rsidRPr="00426893">
              <w:rPr>
                <w:rFonts w:ascii="Times New Roman" w:hAnsi="Times New Roman" w:cs="Times New Roman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691D66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BD5A7E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62 7</w:t>
            </w:r>
            <w:r w:rsidR="009F27D2" w:rsidRPr="0042689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</w:t>
            </w:r>
            <w:r w:rsidR="009F27D2" w:rsidRPr="0042689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12 554,0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12 554,0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B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12 554,0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12 554,0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CB" w:rsidRPr="00426893" w:rsidTr="00577A27">
        <w:trPr>
          <w:cantSplit/>
          <w:trHeight w:val="13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F20521" w:rsidP="00F20521">
            <w:pPr>
              <w:rPr>
                <w:rFonts w:cs="Times New Roman"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Объекты недвижимого имущества, в отношении которых проведены кадастровые работы,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7042B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Итого 2023 год</w:t>
            </w:r>
          </w:p>
        </w:tc>
        <w:tc>
          <w:tcPr>
            <w:tcW w:w="2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CB" w:rsidRPr="00426893" w:rsidTr="00E6679F">
        <w:trPr>
          <w:cantSplit/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IV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426893" w:rsidRDefault="00A60A13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21" w:rsidRPr="00426893" w:rsidTr="00E6679F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21" w:rsidRPr="00426893" w:rsidTr="00E667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F20521">
            <w:pPr>
              <w:rPr>
                <w:rFonts w:cs="Times New Roman"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Объекты, в отношении которых проведена оценка,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21" w:rsidRPr="00426893" w:rsidTr="00E667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F20521">
            <w:pPr>
              <w:rPr>
                <w:rFonts w:cs="Times New Roman"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Возмещено расходов по оплате жилищно-коммунальных и иных услуг за жилые помещения (квартиры) граждан, заключивших договор пожизненного содержания с иждивением с Администрацией городского округа Лыткарино,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521" w:rsidRPr="00426893" w:rsidTr="00E667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F20521">
            <w:pPr>
              <w:rPr>
                <w:rFonts w:cs="Times New Roman"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 xml:space="preserve">Оплачено услуг по обеспечению сборы платы за наем жилых помещений по договорам социального найма муниципального жилищного фонда, расположенного на территории городского округа Лыткарино, в бюджет городского округа Лыткарино, тыс.руб.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426893" w:rsidRDefault="00F20521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A3C" w:rsidRPr="00426893" w:rsidTr="00E6679F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Мероприятие 02.02.</w:t>
            </w:r>
          </w:p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57 050,0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11 410,0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Администрация г.о. Лыткарино</w:t>
            </w:r>
          </w:p>
        </w:tc>
      </w:tr>
      <w:tr w:rsidR="00DB15BF" w:rsidRPr="00426893" w:rsidTr="00E6679F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</w:t>
            </w:r>
            <w:r w:rsidRPr="00426893">
              <w:rPr>
                <w:rFonts w:ascii="Times New Roman" w:hAnsi="Times New Roman" w:cs="Times New Roman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A3C" w:rsidRPr="00426893" w:rsidTr="00E6679F">
        <w:trPr>
          <w:trHeight w:val="5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57 050,0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426893" w:rsidRDefault="00C57A3C" w:rsidP="0062344D">
            <w:pPr>
              <w:jc w:val="center"/>
            </w:pPr>
            <w:r w:rsidRPr="00426893">
              <w:rPr>
                <w:rFonts w:cs="Times New Roman"/>
                <w:sz w:val="18"/>
                <w:szCs w:val="18"/>
              </w:rPr>
              <w:t>11 410,0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3C" w:rsidRPr="00426893" w:rsidRDefault="00C57A3C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E6679F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1202E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BD5A7E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1202E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="00EF6AF9" w:rsidRPr="004268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E6679F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E6679F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98A" w:rsidRPr="00426893" w:rsidTr="00E6679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3 093,0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8E52D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1 031,0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5532F8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КУИ г.Лыткарино</w:t>
            </w:r>
          </w:p>
        </w:tc>
      </w:tr>
      <w:tr w:rsidR="001C798A" w:rsidRPr="00426893" w:rsidTr="00E6679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</w:t>
            </w:r>
            <w:r w:rsidRPr="00426893">
              <w:rPr>
                <w:rFonts w:ascii="Times New Roman" w:hAnsi="Times New Roman" w:cs="Times New Roman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3 093,0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8E52D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1 031,0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5532F8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E6679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F1C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1C798A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44D" w:rsidRPr="00426893" w:rsidTr="00E6679F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3 093,0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1 031,0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КУИ г.Лыткарино</w:t>
            </w:r>
          </w:p>
        </w:tc>
      </w:tr>
      <w:tr w:rsidR="0062344D" w:rsidRPr="00426893" w:rsidTr="00E6679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</w:t>
            </w:r>
            <w:r w:rsidRPr="00426893">
              <w:rPr>
                <w:rFonts w:ascii="Times New Roman" w:hAnsi="Times New Roman" w:cs="Times New Roman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3 093,0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1 031,0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4D" w:rsidRPr="00426893" w:rsidRDefault="0062344D" w:rsidP="0062344D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4D" w:rsidRPr="00426893" w:rsidRDefault="0062344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E6679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F1C" w:rsidP="001C798A">
            <w:pPr>
              <w:pStyle w:val="af4"/>
              <w:rPr>
                <w:rFonts w:ascii="Times New Roman" w:hAnsi="Times New Roman" w:cs="Times New Roman"/>
                <w:sz w:val="16"/>
                <w:szCs w:val="18"/>
              </w:rPr>
            </w:pPr>
            <w:r w:rsidRPr="00426893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E6679F">
        <w:trPr>
          <w:cantSplit/>
          <w:trHeight w:val="2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5B6816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E6679F">
        <w:trPr>
          <w:cantSplit/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AF9" w:rsidRPr="00426893" w:rsidTr="00E6679F">
        <w:trPr>
          <w:trHeight w:val="1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BF" w:rsidRPr="00426893" w:rsidTr="00E6679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26893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1C798A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91 529,0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1C798A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18 210,4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1C798A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18 295,0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1C798A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1C798A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1C798A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392D90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КУИ г.Лыткарино</w:t>
            </w:r>
          </w:p>
        </w:tc>
      </w:tr>
      <w:tr w:rsidR="00EF6AF9" w:rsidRPr="00426893" w:rsidTr="00E6679F">
        <w:trPr>
          <w:trHeight w:val="2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26893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r w:rsidRPr="00426893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426893" w:rsidRDefault="00EF6AF9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426893" w:rsidRDefault="00EF6AF9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98A" w:rsidRPr="00426893" w:rsidTr="00E6679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EF6F1C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26893">
              <w:rPr>
                <w:rFonts w:cs="Times New Roma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91 529,0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4C364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18 210,4</w:t>
            </w:r>
            <w:r w:rsidR="00774F88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18 295,0</w:t>
            </w:r>
          </w:p>
          <w:p w:rsidR="004E3D90" w:rsidRPr="00426893" w:rsidRDefault="004E3D90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4C364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  <w:r w:rsidR="008E52DA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4C364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  <w:r w:rsidR="008E52DA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A" w:rsidRPr="00426893" w:rsidRDefault="001C798A" w:rsidP="004C364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  <w:r w:rsidR="008E52DA"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A" w:rsidRPr="00426893" w:rsidRDefault="001C798A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F88" w:rsidRPr="00426893" w:rsidTr="00E6679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26893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91 529,0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18 210,4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18 295,0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КУИ г.Лыткарино</w:t>
            </w:r>
          </w:p>
        </w:tc>
      </w:tr>
      <w:tr w:rsidR="00DB15BF" w:rsidRPr="00426893" w:rsidTr="00E6679F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26893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r w:rsidRPr="00426893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426893" w:rsidRDefault="00DB15B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426893" w:rsidRDefault="00DB15B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F88" w:rsidRPr="00426893" w:rsidTr="00E6679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EF6F1C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26893">
              <w:rPr>
                <w:rFonts w:cs="Times New Roma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91 529,0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18 210,4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18 295,0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426893" w:rsidRDefault="00774F88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18 341,2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88" w:rsidRPr="00426893" w:rsidRDefault="00774F88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CCB" w:rsidRPr="00426893" w:rsidTr="00691D66">
        <w:trPr>
          <w:trHeight w:val="14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B" w:rsidRPr="00426893" w:rsidRDefault="00E81CCB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B" w:rsidRPr="00426893" w:rsidRDefault="00E81CCB" w:rsidP="00EA541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B" w:rsidRPr="00426893" w:rsidRDefault="00E81CCB" w:rsidP="00EA541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2023-2027 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B" w:rsidRPr="00426893" w:rsidRDefault="00E81CCB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B" w:rsidRPr="00426893" w:rsidRDefault="00E81CCB" w:rsidP="00EA541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B" w:rsidRPr="00426893" w:rsidRDefault="00E81CCB" w:rsidP="00EA541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B" w:rsidRPr="00426893" w:rsidRDefault="00E81CCB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CB" w:rsidRPr="00426893" w:rsidRDefault="00E81CCB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CB" w:rsidRPr="00426893" w:rsidRDefault="00E81CCB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CB" w:rsidRPr="00426893" w:rsidRDefault="00E81CCB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CB" w:rsidRPr="00426893" w:rsidRDefault="00E81CCB" w:rsidP="00691D6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B" w:rsidRPr="00426893" w:rsidRDefault="00E81CCB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B3F" w:rsidRPr="00426893" w:rsidTr="00E6679F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3F" w:rsidRPr="00426893" w:rsidRDefault="00DB7B3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3F" w:rsidRPr="00426893" w:rsidRDefault="00DB7B3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3F" w:rsidRPr="00426893" w:rsidRDefault="00DB7B3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3F" w:rsidRPr="00426893" w:rsidRDefault="00DB7B3F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F" w:rsidRPr="00426893" w:rsidRDefault="00DB7B3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F" w:rsidRPr="00426893" w:rsidRDefault="00DB7B3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F" w:rsidRPr="00426893" w:rsidRDefault="00DB7B3F" w:rsidP="00EA541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F" w:rsidRPr="00426893" w:rsidRDefault="00DB7B3F" w:rsidP="00EA541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F" w:rsidRPr="00426893" w:rsidRDefault="00DB7B3F" w:rsidP="00EA541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F" w:rsidRPr="00426893" w:rsidRDefault="00DB7B3F" w:rsidP="00EA5411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42689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F" w:rsidRPr="00426893" w:rsidRDefault="00DB7B3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F" w:rsidRPr="00426893" w:rsidRDefault="00DB7B3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F" w:rsidRPr="00426893" w:rsidRDefault="00DB7B3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F" w:rsidRPr="00426893" w:rsidRDefault="00DB7B3F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F" w:rsidRPr="00426893" w:rsidRDefault="00DB7B3F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DD" w:rsidRPr="00426893" w:rsidTr="00E6679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D" w:rsidRPr="00426893" w:rsidRDefault="00D25FD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D" w:rsidRPr="00426893" w:rsidRDefault="00D25FD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D" w:rsidRPr="00426893" w:rsidRDefault="00D25FD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D" w:rsidRPr="00426893" w:rsidRDefault="00D25FDD" w:rsidP="00E27D33">
            <w:pPr>
              <w:tabs>
                <w:tab w:val="center" w:pos="175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426893" w:rsidRDefault="00D25FDD" w:rsidP="00774F8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D" w:rsidRPr="00426893" w:rsidRDefault="00D25FDD" w:rsidP="001C798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7C1" w:rsidRPr="00426893" w:rsidRDefault="00DB15BF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sz w:val="22"/>
          <w:szCs w:val="22"/>
        </w:rPr>
      </w:pPr>
      <w:r w:rsidRPr="00426893">
        <w:rPr>
          <w:rFonts w:ascii="Times New Roman" w:eastAsiaTheme="minorEastAsia" w:hAnsi="Times New Roman" w:cs="Times New Roman"/>
          <w:bCs/>
          <w:iCs/>
          <w:sz w:val="22"/>
          <w:szCs w:val="22"/>
        </w:rPr>
        <w:t>Подпрограмма 3 «Управление муниципальным долгом»</w:t>
      </w:r>
    </w:p>
    <w:p w:rsidR="003A7FEC" w:rsidRPr="00426893" w:rsidRDefault="003A7FEC" w:rsidP="003A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7FEC" w:rsidRPr="00426893" w:rsidRDefault="003A7FEC" w:rsidP="003A7FEC">
      <w:pPr>
        <w:widowControl w:val="0"/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ru-RU"/>
        </w:rPr>
      </w:pPr>
    </w:p>
    <w:tbl>
      <w:tblPr>
        <w:tblW w:w="1502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851"/>
        <w:gridCol w:w="992"/>
        <w:gridCol w:w="851"/>
        <w:gridCol w:w="992"/>
        <w:gridCol w:w="1277"/>
      </w:tblGrid>
      <w:tr w:rsidR="000939B1" w:rsidRPr="00426893" w:rsidTr="000939B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  <w:p w:rsidR="000939B1" w:rsidRPr="00426893" w:rsidRDefault="000939B1" w:rsidP="008E52DA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939B1" w:rsidRPr="00426893" w:rsidRDefault="000939B1" w:rsidP="008E52DA">
            <w:pPr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0939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0939B1" w:rsidRPr="00426893" w:rsidTr="000939B1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B1" w:rsidRPr="00426893" w:rsidRDefault="000939B1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426893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426893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426893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426893" w:rsidRDefault="000939B1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0939B1" w:rsidRPr="00426893" w:rsidTr="000939B1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426893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5500ED" w:rsidRPr="00426893" w:rsidTr="00D865C6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ED" w:rsidRPr="00426893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</w:t>
            </w:r>
          </w:p>
          <w:p w:rsidR="005500ED" w:rsidRPr="00426893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iCs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5500ED" w:rsidRPr="00426893" w:rsidTr="00D865C6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ED" w:rsidRPr="00426893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5500ED" w:rsidRPr="00426893" w:rsidTr="00D865C6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ED" w:rsidRPr="00426893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426893" w:rsidRDefault="005500ED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426893" w:rsidRDefault="005500ED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426893" w:rsidRDefault="005500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244A6" w:rsidRPr="00426893" w:rsidTr="00BA770C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01.01</w:t>
            </w:r>
          </w:p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Обслуживание муниципального долга по бюджетным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iCs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600,0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8E5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4244A6" w:rsidRPr="00426893" w:rsidTr="00D865C6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244A6" w:rsidRPr="00426893" w:rsidTr="00D865C6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600,0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244A6" w:rsidRPr="00426893" w:rsidTr="000939B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C8025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426893" w:rsidRDefault="004244A6" w:rsidP="00DA57C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244A6" w:rsidRPr="00426893" w:rsidTr="000939B1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244A6" w:rsidRPr="00426893" w:rsidTr="00D865C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244A6" w:rsidRPr="00426893" w:rsidTr="00D865C6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01.02</w:t>
            </w:r>
          </w:p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iCs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33854,9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11305,1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21649,8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8E5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4244A6" w:rsidRPr="00426893" w:rsidTr="00D865C6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244A6" w:rsidRPr="00426893" w:rsidTr="00D865C6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A6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33854,9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11305,1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21649,8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D865C6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244A6" w:rsidRPr="00426893" w:rsidTr="000939B1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670A34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Оплата процентов за пользование</w:t>
            </w:r>
            <w:r w:rsidRPr="00426893">
              <w:rPr>
                <w:rFonts w:cs="Times New Roman"/>
                <w:iCs/>
                <w:sz w:val="18"/>
                <w:szCs w:val="18"/>
              </w:rPr>
              <w:t xml:space="preserve"> коммерческим</w:t>
            </w: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244A6" w:rsidRPr="00426893" w:rsidTr="000939B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244A6" w:rsidRPr="00426893" w:rsidTr="000939B1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33854,9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11305,1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21649,8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426893" w:rsidRDefault="004244A6" w:rsidP="00F976E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3A7FEC" w:rsidRPr="00426893" w:rsidRDefault="003A7FEC" w:rsidP="003A7FEC">
      <w:pPr>
        <w:rPr>
          <w:rFonts w:eastAsiaTheme="minorEastAsia" w:cs="Times New Roman"/>
          <w:sz w:val="22"/>
          <w:lang w:eastAsia="ru-RU"/>
        </w:rPr>
      </w:pPr>
    </w:p>
    <w:p w:rsidR="006A2961" w:rsidRPr="00426893" w:rsidRDefault="006A2961" w:rsidP="003A7FEC">
      <w:pPr>
        <w:rPr>
          <w:rFonts w:eastAsiaTheme="minorEastAsia" w:cs="Times New Roman"/>
          <w:sz w:val="22"/>
          <w:lang w:eastAsia="ru-RU"/>
        </w:rPr>
      </w:pPr>
    </w:p>
    <w:p w:rsidR="006A2961" w:rsidRPr="00426893" w:rsidRDefault="006A2961" w:rsidP="003A7FEC">
      <w:pPr>
        <w:rPr>
          <w:rFonts w:eastAsiaTheme="minorEastAsia" w:cs="Times New Roman"/>
          <w:sz w:val="22"/>
          <w:lang w:eastAsia="ru-RU"/>
        </w:rPr>
      </w:pPr>
    </w:p>
    <w:p w:rsidR="006A2961" w:rsidRPr="00426893" w:rsidRDefault="006A2961" w:rsidP="003A7FEC">
      <w:pPr>
        <w:rPr>
          <w:rFonts w:eastAsiaTheme="minorEastAsia" w:cs="Times New Roman"/>
          <w:sz w:val="22"/>
          <w:lang w:eastAsia="ru-RU"/>
        </w:rPr>
      </w:pPr>
    </w:p>
    <w:p w:rsidR="006A2961" w:rsidRPr="00426893" w:rsidRDefault="006A2961" w:rsidP="003A7FEC">
      <w:pPr>
        <w:rPr>
          <w:rFonts w:eastAsiaTheme="minorEastAsia" w:cs="Times New Roman"/>
          <w:sz w:val="22"/>
          <w:lang w:eastAsia="ru-RU"/>
        </w:rPr>
      </w:pPr>
    </w:p>
    <w:p w:rsidR="006A2961" w:rsidRPr="00426893" w:rsidRDefault="006A2961" w:rsidP="003A7FEC">
      <w:pPr>
        <w:rPr>
          <w:rFonts w:eastAsiaTheme="minorEastAsia" w:cs="Times New Roman"/>
          <w:sz w:val="22"/>
          <w:lang w:eastAsia="ru-RU"/>
        </w:rPr>
      </w:pPr>
    </w:p>
    <w:p w:rsidR="006A2961" w:rsidRPr="00426893" w:rsidRDefault="006A2961" w:rsidP="003A7FEC">
      <w:pPr>
        <w:rPr>
          <w:rFonts w:eastAsiaTheme="minorEastAsia" w:cs="Times New Roman"/>
          <w:sz w:val="22"/>
          <w:lang w:eastAsia="ru-RU"/>
        </w:rPr>
      </w:pPr>
    </w:p>
    <w:p w:rsidR="00577A27" w:rsidRPr="00426893" w:rsidRDefault="00577A27" w:rsidP="003A7FEC">
      <w:pPr>
        <w:rPr>
          <w:rFonts w:eastAsiaTheme="minorEastAsia" w:cs="Times New Roman"/>
          <w:sz w:val="22"/>
          <w:lang w:eastAsia="ru-RU"/>
        </w:rPr>
      </w:pPr>
    </w:p>
    <w:p w:rsidR="006A2961" w:rsidRPr="00426893" w:rsidRDefault="006A2961" w:rsidP="003A7FEC">
      <w:pPr>
        <w:rPr>
          <w:rFonts w:eastAsiaTheme="minorEastAsia" w:cs="Times New Roman"/>
          <w:sz w:val="22"/>
          <w:lang w:eastAsia="ru-RU"/>
        </w:rPr>
      </w:pPr>
    </w:p>
    <w:p w:rsidR="006A2961" w:rsidRPr="00426893" w:rsidRDefault="006A2961" w:rsidP="003A7FEC">
      <w:pPr>
        <w:rPr>
          <w:rFonts w:eastAsiaTheme="minorEastAsia" w:cs="Times New Roman"/>
          <w:sz w:val="22"/>
          <w:lang w:eastAsia="ru-RU"/>
        </w:rPr>
      </w:pPr>
    </w:p>
    <w:p w:rsidR="003A7FEC" w:rsidRPr="00426893" w:rsidRDefault="003A7FEC" w:rsidP="003A7FEC">
      <w:pPr>
        <w:rPr>
          <w:rFonts w:eastAsiaTheme="minorEastAsia" w:cs="Times New Roman"/>
          <w:sz w:val="22"/>
          <w:lang w:eastAsia="ru-RU"/>
        </w:rPr>
      </w:pPr>
      <w:r w:rsidRPr="00426893">
        <w:rPr>
          <w:rFonts w:eastAsiaTheme="minorEastAsia" w:cs="Times New Roman"/>
          <w:sz w:val="22"/>
          <w:lang w:eastAsia="ru-RU"/>
        </w:rPr>
        <w:t>Подпрограмма 5 «Обеспечивающая подпрограмма»</w:t>
      </w:r>
    </w:p>
    <w:p w:rsidR="00CD16CD" w:rsidRPr="00426893" w:rsidRDefault="00CD16CD" w:rsidP="003A7FEC">
      <w:pPr>
        <w:rPr>
          <w:rFonts w:eastAsiaTheme="minorEastAsia" w:cs="Times New Roman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CD16CD" w:rsidRPr="00426893" w:rsidTr="004C3646">
        <w:trPr>
          <w:trHeight w:val="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426893" w:rsidRDefault="00CD16CD" w:rsidP="005D427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D16CD" w:rsidRPr="00426893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D16CD" w:rsidRPr="00426893" w:rsidTr="004C3646">
        <w:trPr>
          <w:trHeight w:val="1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16CD" w:rsidRPr="00426893" w:rsidTr="004C364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426893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2A72DA" w:rsidRPr="00426893" w:rsidTr="00703B71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DA" w:rsidRPr="00426893" w:rsidRDefault="002A72D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  <w:p w:rsidR="002A72DA" w:rsidRPr="00426893" w:rsidRDefault="002A72DA" w:rsidP="00F976E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A72DA" w:rsidRPr="00426893" w:rsidRDefault="002A72DA" w:rsidP="00F976E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A72DA" w:rsidRPr="00426893" w:rsidRDefault="002A72DA" w:rsidP="00F976E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A72DA" w:rsidRPr="00426893" w:rsidRDefault="002A72DA" w:rsidP="00F976E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426893" w:rsidRDefault="002A72DA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</w:t>
            </w:r>
          </w:p>
          <w:p w:rsidR="002A72DA" w:rsidRPr="00426893" w:rsidRDefault="002A72DA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426893" w:rsidRDefault="002A72DA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426893" w:rsidRDefault="002A72D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iCs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1 069 823,5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217 659,4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213 269,1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213 269,1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213 269,1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DA" w:rsidRPr="00426893" w:rsidRDefault="002A72DA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2A72DA" w:rsidRPr="00426893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DA" w:rsidRPr="00426893" w:rsidRDefault="002A72D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426893" w:rsidRDefault="002A72DA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426893" w:rsidRDefault="002A72DA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426893" w:rsidRDefault="002A72D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763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1 069 823,</w:t>
            </w:r>
            <w:r w:rsidR="00763E5C" w:rsidRPr="00426893">
              <w:rPr>
                <w:rFonts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217 659,4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213 269,1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213 269,1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426893" w:rsidRDefault="002A72DA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213 269,1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DA" w:rsidRPr="00426893" w:rsidRDefault="002A72DA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01.01</w:t>
            </w:r>
          </w:p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iCs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13 326,3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2 604,7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2 680,4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2 680,4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2 680,4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2 680,4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  <w:p w:rsidR="00A267C0" w:rsidRPr="00426893" w:rsidRDefault="00A267C0" w:rsidP="00A267C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A267C0" w:rsidRPr="00426893" w:rsidRDefault="00A267C0" w:rsidP="00A267C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13 326,3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2 604,7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2 680,4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2 680,4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2 680,4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2 680,4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01.02</w:t>
            </w:r>
          </w:p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iCs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339 993,4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67 762,5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67 649,5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68 193,8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68 193,8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68 193,8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339 993,4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67 762,5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67 649,5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68 193,8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68 193,8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68 193,8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01.03</w:t>
            </w:r>
          </w:p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20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Комитеты и отраслевые управления при администрации (Указать)</w:t>
            </w:r>
            <w:r w:rsidRPr="00426893">
              <w:rPr>
                <w:color w:val="000000"/>
                <w:sz w:val="20"/>
                <w:szCs w:val="20"/>
              </w:rPr>
              <w:t xml:space="preserve"> </w:t>
            </w:r>
            <w:r w:rsidRPr="00426893">
              <w:rPr>
                <w:i/>
                <w:color w:val="000000"/>
                <w:sz w:val="18"/>
                <w:szCs w:val="20"/>
              </w:rPr>
              <w:t xml:space="preserve">МКУ «Управление обеспечения деятельности Администрации г. Лыткарино», </w:t>
            </w:r>
          </w:p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i/>
                <w:color w:val="000000"/>
                <w:sz w:val="18"/>
                <w:szCs w:val="20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iCs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A36FC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337 942,7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A36FC" w:rsidP="00577A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 xml:space="preserve">67 695,8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A36FC" w:rsidP="004C36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 xml:space="preserve">67 521,9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A36FC" w:rsidP="004C36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 xml:space="preserve">67 575,0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A36FC" w:rsidP="004C364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 xml:space="preserve">67 575,0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A36FC" w:rsidP="004C364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 xml:space="preserve">67 575,0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i/>
                <w:color w:val="000000"/>
                <w:sz w:val="16"/>
                <w:szCs w:val="20"/>
              </w:rPr>
              <w:t>МКУ «Управление обеспечения деятельности Администра</w:t>
            </w:r>
            <w:r w:rsidR="006356E1" w:rsidRPr="00426893">
              <w:rPr>
                <w:i/>
                <w:color w:val="000000"/>
                <w:sz w:val="16"/>
                <w:szCs w:val="20"/>
              </w:rPr>
              <w:t>ции г.</w:t>
            </w:r>
            <w:r w:rsidRPr="00426893">
              <w:rPr>
                <w:i/>
                <w:color w:val="000000"/>
                <w:sz w:val="16"/>
                <w:szCs w:val="20"/>
              </w:rPr>
              <w:t>Лыткари</w:t>
            </w:r>
            <w:r w:rsidR="006356E1" w:rsidRPr="00426893">
              <w:rPr>
                <w:i/>
                <w:color w:val="000000"/>
                <w:sz w:val="16"/>
                <w:szCs w:val="20"/>
              </w:rPr>
              <w:t>но»,</w:t>
            </w:r>
            <w:r w:rsidR="00E27D33" w:rsidRPr="00426893">
              <w:rPr>
                <w:i/>
                <w:color w:val="000000"/>
                <w:sz w:val="16"/>
                <w:szCs w:val="20"/>
              </w:rPr>
              <w:t xml:space="preserve"> </w:t>
            </w:r>
            <w:r w:rsidRPr="00426893">
              <w:rPr>
                <w:i/>
                <w:color w:val="000000"/>
                <w:sz w:val="16"/>
                <w:szCs w:val="20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187258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258" w:rsidRPr="00426893" w:rsidRDefault="0018725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426893" w:rsidRDefault="0018725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426893" w:rsidRDefault="00187258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27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sz w:val="16"/>
                <w:szCs w:val="18"/>
              </w:rPr>
              <w:t>Средства бюджета городского округа Лыткарино</w:t>
            </w:r>
          </w:p>
          <w:p w:rsidR="00577A27" w:rsidRPr="00426893" w:rsidRDefault="00577A27" w:rsidP="00577A27">
            <w:pPr>
              <w:rPr>
                <w:rFonts w:cs="Times New Roman"/>
                <w:sz w:val="16"/>
                <w:szCs w:val="18"/>
              </w:rPr>
            </w:pPr>
          </w:p>
          <w:p w:rsidR="00187258" w:rsidRPr="00426893" w:rsidRDefault="00187258" w:rsidP="00577A27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426893" w:rsidRDefault="0018725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337 942,7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426893" w:rsidRDefault="0018725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67 695,8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426893" w:rsidRDefault="0018725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67 521,9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426893" w:rsidRDefault="0018725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67 575,0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426893" w:rsidRDefault="00187258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67 575,0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426893" w:rsidRDefault="00187258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67 575,0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258" w:rsidRPr="00426893" w:rsidRDefault="0018725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5D4276" w:rsidRPr="00426893" w:rsidTr="004C3646">
        <w:trPr>
          <w:trHeight w:val="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76" w:rsidRPr="00426893" w:rsidRDefault="005D4276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="004C3646"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5D427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01.05</w:t>
            </w:r>
          </w:p>
          <w:p w:rsidR="005D4276" w:rsidRPr="00426893" w:rsidRDefault="005D427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5D427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8"/>
              </w:rPr>
            </w:pPr>
            <w:r w:rsidRPr="00426893">
              <w:rPr>
                <w:rFonts w:cs="Times New Roman"/>
                <w:iCs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105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853,3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929,1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015,1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303,1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21303,1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76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5D4276" w:rsidRPr="00426893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76" w:rsidRPr="00426893" w:rsidRDefault="005D427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5D427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5D427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5D427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276" w:rsidRPr="00426893" w:rsidRDefault="005D427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5D4276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76" w:rsidRPr="00426893" w:rsidRDefault="005D427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5D427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5D427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105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853,3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929,1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015,1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303,1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</w:t>
            </w:r>
            <w:r w:rsidR="008E52DA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426893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21303,1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276" w:rsidRPr="00426893" w:rsidRDefault="005D427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426893" w:rsidTr="004C3646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="004C3646"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01.06</w:t>
            </w:r>
          </w:p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116 120,5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577A27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116 120,5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000F16" w:rsidRPr="00426893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6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426893" w:rsidRDefault="00000F1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01.07</w:t>
            </w:r>
          </w:p>
          <w:p w:rsidR="00000F16" w:rsidRPr="00426893" w:rsidRDefault="00000F1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426893" w:rsidRDefault="00000F1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95 088,0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23 017,6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000F1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000F1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000F1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6" w:rsidRPr="00426893" w:rsidRDefault="00000F1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color w:val="000000"/>
                <w:sz w:val="20"/>
                <w:szCs w:val="20"/>
              </w:rPr>
              <w:t>МБУ ЛАТП – автотранспортное обслуживание</w:t>
            </w: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000F16" w:rsidRPr="00426893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6" w:rsidRPr="00426893" w:rsidRDefault="00000F1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426893" w:rsidRDefault="00000F1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95 088,0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23 017,6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197868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197868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426893" w:rsidRDefault="00000F16" w:rsidP="00197868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16" w:rsidRPr="00426893" w:rsidRDefault="00000F1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01.08</w:t>
            </w:r>
          </w:p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456,0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F42F14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F42F14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F42F14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7D3543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7D3543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456,0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426893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01.10</w:t>
            </w:r>
          </w:p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D865C6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7D3543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A267C0" w:rsidRPr="00426893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26893" w:rsidRDefault="007D3543" w:rsidP="007D3543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8"/>
              </w:rPr>
            </w:pPr>
            <w:r w:rsidRPr="00426893">
              <w:rPr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8"/>
              </w:rPr>
            </w:pPr>
            <w:r w:rsidRPr="00426893">
              <w:rPr>
                <w:rFonts w:cs="Times New Roman"/>
                <w:iCs/>
                <w:sz w:val="14"/>
                <w:szCs w:val="18"/>
              </w:rPr>
              <w:t>Средства бюджета</w:t>
            </w:r>
          </w:p>
          <w:p w:rsidR="00A267C0" w:rsidRPr="00426893" w:rsidRDefault="00000F1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8"/>
              </w:rPr>
            </w:pPr>
            <w:r w:rsidRPr="00426893">
              <w:rPr>
                <w:rFonts w:cs="Times New Roman"/>
                <w:iCs/>
                <w:sz w:val="14"/>
                <w:szCs w:val="18"/>
              </w:rPr>
              <w:t>г</w:t>
            </w:r>
            <w:r w:rsidR="00A267C0" w:rsidRPr="00426893">
              <w:rPr>
                <w:rFonts w:cs="Times New Roman"/>
                <w:iCs/>
                <w:sz w:val="14"/>
                <w:szCs w:val="18"/>
              </w:rPr>
              <w:t>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26893" w:rsidRDefault="00A267C0" w:rsidP="00D865C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01.13</w:t>
            </w:r>
          </w:p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6"/>
              </w:rPr>
            </w:pPr>
            <w:r w:rsidRPr="00426893">
              <w:rPr>
                <w:rFonts w:cs="Times New Roman"/>
                <w:iCs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6"/>
              </w:rPr>
            </w:pPr>
            <w:r w:rsidRPr="00426893">
              <w:rPr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267C0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6"/>
              </w:rPr>
            </w:pPr>
            <w:r w:rsidRPr="00426893">
              <w:rPr>
                <w:rFonts w:cs="Times New Roman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26893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2689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244A6" w:rsidRPr="00426893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01.14</w:t>
            </w:r>
          </w:p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6"/>
              </w:rPr>
            </w:pPr>
            <w:r w:rsidRPr="00426893">
              <w:rPr>
                <w:rFonts w:cs="Times New Roman"/>
                <w:iCs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244A6" w:rsidRPr="00426893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6"/>
              </w:rPr>
            </w:pPr>
            <w:r w:rsidRPr="00426893">
              <w:rPr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244A6" w:rsidRPr="00426893" w:rsidTr="00397EDC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6"/>
              </w:rPr>
            </w:pPr>
            <w:r w:rsidRPr="00426893">
              <w:rPr>
                <w:rFonts w:cs="Times New Roman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244A6" w:rsidRPr="00426893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4"/>
              </w:rPr>
            </w:pPr>
            <w:r w:rsidRPr="00426893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244A6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4"/>
              </w:rPr>
            </w:pPr>
            <w:r w:rsidRPr="00426893">
              <w:rPr>
                <w:rFonts w:cs="Times New Roman"/>
                <w:iCs/>
                <w:sz w:val="14"/>
                <w:szCs w:val="14"/>
              </w:rPr>
              <w:t>Средства бюджета</w:t>
            </w:r>
          </w:p>
          <w:p w:rsidR="004244A6" w:rsidRPr="00426893" w:rsidRDefault="00000F1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4"/>
                <w:szCs w:val="14"/>
              </w:rPr>
            </w:pPr>
            <w:r w:rsidRPr="00426893">
              <w:rPr>
                <w:rFonts w:cs="Times New Roman"/>
                <w:iCs/>
                <w:sz w:val="14"/>
                <w:szCs w:val="14"/>
              </w:rPr>
              <w:t>г</w:t>
            </w:r>
            <w:r w:rsidR="004244A6" w:rsidRPr="00426893">
              <w:rPr>
                <w:rFonts w:cs="Times New Roman"/>
                <w:iCs/>
                <w:sz w:val="14"/>
                <w:szCs w:val="14"/>
              </w:rPr>
              <w:t>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426893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426893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A36FC" w:rsidRPr="00426893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01.17</w:t>
            </w:r>
          </w:p>
          <w:p w:rsidR="00AA36FC" w:rsidRPr="00426893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60 341,1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12 085,2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12 043,8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</w:t>
            </w:r>
            <w:r w:rsidR="00577A27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070,7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</w:t>
            </w:r>
            <w:r w:rsidR="00577A27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</w:t>
            </w:r>
            <w:r w:rsidR="00577A27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070,7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426893" w:rsidRDefault="00AA36FC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i/>
                <w:color w:val="000000"/>
                <w:sz w:val="18"/>
                <w:szCs w:val="20"/>
              </w:rPr>
              <w:t xml:space="preserve">МКУ «Комитет по торгам г. Лыткарино»  </w:t>
            </w:r>
          </w:p>
        </w:tc>
      </w:tr>
      <w:tr w:rsidR="00AA36FC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426893" w:rsidRDefault="00AA36FC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FC" w:rsidRPr="00426893" w:rsidRDefault="00AA36FC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AA36FC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426893" w:rsidRDefault="00AA36FC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60 341,1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12 085,2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12 043,8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</w:t>
            </w:r>
            <w:r w:rsidR="00577A27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070,7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</w:t>
            </w:r>
            <w:r w:rsidR="00577A27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426893" w:rsidRDefault="00AA36FC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12</w:t>
            </w:r>
            <w:r w:rsidR="00577A27" w:rsidRPr="0042689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426893">
              <w:rPr>
                <w:rFonts w:cs="Times New Roman"/>
                <w:iCs/>
                <w:sz w:val="18"/>
                <w:szCs w:val="18"/>
              </w:rPr>
              <w:t>070,7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FC" w:rsidRPr="00426893" w:rsidRDefault="00AA36FC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426893" w:rsidTr="004C3646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Основное мероприятие 03</w:t>
            </w:r>
          </w:p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4244A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7F1037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426893" w:rsidTr="004C3646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F1037" w:rsidRPr="00426893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03.01</w:t>
            </w:r>
          </w:p>
          <w:p w:rsidR="007F1037" w:rsidRPr="00426893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000F16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F1037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F1037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426893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3" w:rsidRPr="0042689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6893">
              <w:rPr>
                <w:rFonts w:eastAsiaTheme="minorEastAsia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/>
                <w:iCs/>
                <w:sz w:val="18"/>
                <w:szCs w:val="18"/>
              </w:rPr>
              <w:t>Мероприятие 03.02</w:t>
            </w:r>
          </w:p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18"/>
                <w:szCs w:val="18"/>
              </w:rPr>
            </w:pPr>
            <w:r w:rsidRPr="00426893">
              <w:rPr>
                <w:rFonts w:cs="Times New Roman"/>
                <w:bCs/>
                <w:iCs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 w:rsidRPr="00426893"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7F1037" w:rsidRPr="0042689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26893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26893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D3543" w:rsidRPr="00051712" w:rsidTr="004C3646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3" w:rsidRPr="00426893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ind w:hanging="100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16"/>
                <w:szCs w:val="16"/>
              </w:rPr>
            </w:pPr>
            <w:r w:rsidRPr="00426893">
              <w:rPr>
                <w:rFonts w:cs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26893" w:rsidRDefault="007D3543" w:rsidP="00B637AD"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7D3543" w:rsidRDefault="007D3543" w:rsidP="00B637AD">
            <w:r w:rsidRPr="00426893">
              <w:rPr>
                <w:rFonts w:cs="Times New Roman"/>
                <w:iCs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051712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</w:tbl>
    <w:p w:rsidR="00FE7C5D" w:rsidRDefault="00FE7C5D" w:rsidP="006356E1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Pr="00FE7C5D" w:rsidRDefault="00FE7C5D" w:rsidP="00FE7C5D">
      <w:pPr>
        <w:rPr>
          <w:rFonts w:cs="Times New Roman"/>
          <w:sz w:val="24"/>
          <w:szCs w:val="24"/>
        </w:rPr>
      </w:pPr>
    </w:p>
    <w:p w:rsidR="00FE7C5D" w:rsidRDefault="00FE7C5D" w:rsidP="00FE7C5D">
      <w:pPr>
        <w:rPr>
          <w:rFonts w:cs="Times New Roman"/>
          <w:sz w:val="24"/>
          <w:szCs w:val="24"/>
        </w:rPr>
      </w:pPr>
    </w:p>
    <w:p w:rsidR="000A436A" w:rsidRPr="00FE7C5D" w:rsidRDefault="00FE7C5D" w:rsidP="00FE7C5D">
      <w:pPr>
        <w:tabs>
          <w:tab w:val="left" w:pos="26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0A436A" w:rsidRPr="00FE7C5D" w:rsidSect="00491CEE">
      <w:pgSz w:w="16838" w:h="11906" w:orient="landscape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94" w:rsidRPr="00BE29A2" w:rsidRDefault="00FC4894" w:rsidP="00BE29A2">
      <w:r>
        <w:separator/>
      </w:r>
    </w:p>
  </w:endnote>
  <w:endnote w:type="continuationSeparator" w:id="0">
    <w:p w:rsidR="00FC4894" w:rsidRPr="00BE29A2" w:rsidRDefault="00FC4894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E6" w:rsidRDefault="00C53EE6" w:rsidP="0061751B">
    <w:pPr>
      <w:pStyle w:val="a9"/>
      <w:jc w:val="center"/>
    </w:pPr>
  </w:p>
  <w:p w:rsidR="00C53EE6" w:rsidRDefault="00C53EE6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94" w:rsidRPr="00BE29A2" w:rsidRDefault="00FC4894" w:rsidP="00BE29A2">
      <w:r>
        <w:separator/>
      </w:r>
    </w:p>
  </w:footnote>
  <w:footnote w:type="continuationSeparator" w:id="0">
    <w:p w:rsidR="00FC4894" w:rsidRPr="00BE29A2" w:rsidRDefault="00FC4894" w:rsidP="00BE29A2">
      <w:r>
        <w:continuationSeparator/>
      </w:r>
    </w:p>
  </w:footnote>
  <w:footnote w:id="1">
    <w:p w:rsidR="00C53EE6" w:rsidRPr="005B48DC" w:rsidRDefault="00C53EE6" w:rsidP="00454C2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00F16"/>
    <w:rsid w:val="000054BF"/>
    <w:rsid w:val="00011995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93027"/>
    <w:rsid w:val="000939B1"/>
    <w:rsid w:val="000A436A"/>
    <w:rsid w:val="000B11F5"/>
    <w:rsid w:val="000C7171"/>
    <w:rsid w:val="000D17A3"/>
    <w:rsid w:val="000D1AF7"/>
    <w:rsid w:val="000D3434"/>
    <w:rsid w:val="000D561F"/>
    <w:rsid w:val="000E7057"/>
    <w:rsid w:val="000F401B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303CA4"/>
    <w:rsid w:val="003074F7"/>
    <w:rsid w:val="00312CBE"/>
    <w:rsid w:val="00323997"/>
    <w:rsid w:val="00324AC3"/>
    <w:rsid w:val="0033723D"/>
    <w:rsid w:val="00351F39"/>
    <w:rsid w:val="00356FD4"/>
    <w:rsid w:val="00370F69"/>
    <w:rsid w:val="003818EE"/>
    <w:rsid w:val="00383FED"/>
    <w:rsid w:val="00392D90"/>
    <w:rsid w:val="00397EDC"/>
    <w:rsid w:val="003A6376"/>
    <w:rsid w:val="003A7FEC"/>
    <w:rsid w:val="003B36DE"/>
    <w:rsid w:val="003B39CC"/>
    <w:rsid w:val="003B6EBC"/>
    <w:rsid w:val="003C3E57"/>
    <w:rsid w:val="003D0A82"/>
    <w:rsid w:val="003D246E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5ADF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658FC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4BFA"/>
    <w:rsid w:val="00603F99"/>
    <w:rsid w:val="00610A85"/>
    <w:rsid w:val="006151C8"/>
    <w:rsid w:val="00615907"/>
    <w:rsid w:val="0061751B"/>
    <w:rsid w:val="00621BC8"/>
    <w:rsid w:val="0062344D"/>
    <w:rsid w:val="006356E1"/>
    <w:rsid w:val="00643A26"/>
    <w:rsid w:val="0064552C"/>
    <w:rsid w:val="00647B1D"/>
    <w:rsid w:val="00652236"/>
    <w:rsid w:val="00666570"/>
    <w:rsid w:val="00667598"/>
    <w:rsid w:val="00670A34"/>
    <w:rsid w:val="00671815"/>
    <w:rsid w:val="00691D66"/>
    <w:rsid w:val="006A054F"/>
    <w:rsid w:val="006A2961"/>
    <w:rsid w:val="006A604B"/>
    <w:rsid w:val="006A7230"/>
    <w:rsid w:val="006B7973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4F88"/>
    <w:rsid w:val="00775A40"/>
    <w:rsid w:val="00777429"/>
    <w:rsid w:val="00777C77"/>
    <w:rsid w:val="007870CF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22EE9"/>
    <w:rsid w:val="00831992"/>
    <w:rsid w:val="008344C1"/>
    <w:rsid w:val="0084668A"/>
    <w:rsid w:val="0085105B"/>
    <w:rsid w:val="0085163A"/>
    <w:rsid w:val="008526EB"/>
    <w:rsid w:val="00873358"/>
    <w:rsid w:val="008762EF"/>
    <w:rsid w:val="0088238C"/>
    <w:rsid w:val="00895563"/>
    <w:rsid w:val="008A78E0"/>
    <w:rsid w:val="008B0015"/>
    <w:rsid w:val="008C0E1C"/>
    <w:rsid w:val="008D42F2"/>
    <w:rsid w:val="008E52DA"/>
    <w:rsid w:val="008F121D"/>
    <w:rsid w:val="009021C8"/>
    <w:rsid w:val="0093466B"/>
    <w:rsid w:val="00935AB0"/>
    <w:rsid w:val="00940020"/>
    <w:rsid w:val="00962F74"/>
    <w:rsid w:val="009769CB"/>
    <w:rsid w:val="00992616"/>
    <w:rsid w:val="00995C63"/>
    <w:rsid w:val="009B6479"/>
    <w:rsid w:val="009D5F56"/>
    <w:rsid w:val="009E0778"/>
    <w:rsid w:val="009F27D2"/>
    <w:rsid w:val="009F71F4"/>
    <w:rsid w:val="00A106E3"/>
    <w:rsid w:val="00A17A66"/>
    <w:rsid w:val="00A17B10"/>
    <w:rsid w:val="00A267C0"/>
    <w:rsid w:val="00A31299"/>
    <w:rsid w:val="00A32766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33348"/>
    <w:rsid w:val="00C53EE6"/>
    <w:rsid w:val="00C56ABE"/>
    <w:rsid w:val="00C57A3C"/>
    <w:rsid w:val="00C636BD"/>
    <w:rsid w:val="00C64CAC"/>
    <w:rsid w:val="00C748C8"/>
    <w:rsid w:val="00C74C89"/>
    <w:rsid w:val="00C80250"/>
    <w:rsid w:val="00C96E86"/>
    <w:rsid w:val="00CA2616"/>
    <w:rsid w:val="00CA5A28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25FDD"/>
    <w:rsid w:val="00D26C90"/>
    <w:rsid w:val="00D337F0"/>
    <w:rsid w:val="00D41076"/>
    <w:rsid w:val="00D44EBD"/>
    <w:rsid w:val="00D57254"/>
    <w:rsid w:val="00D620ED"/>
    <w:rsid w:val="00D64B6C"/>
    <w:rsid w:val="00D7326A"/>
    <w:rsid w:val="00D865C6"/>
    <w:rsid w:val="00DA06E5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133C"/>
    <w:rsid w:val="00F014B9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34F2"/>
    <w:rsid w:val="00F53D03"/>
    <w:rsid w:val="00F653B7"/>
    <w:rsid w:val="00F717A4"/>
    <w:rsid w:val="00F84D40"/>
    <w:rsid w:val="00F93659"/>
    <w:rsid w:val="00F976E8"/>
    <w:rsid w:val="00F979B3"/>
    <w:rsid w:val="00FA48BF"/>
    <w:rsid w:val="00FA7EF7"/>
    <w:rsid w:val="00FC1E7A"/>
    <w:rsid w:val="00FC4894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F2876-7A66-4A53-A5B9-31D70573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F4C9-F878-4DA8-8234-BF2CBE8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7247</Words>
  <Characters>41309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1</cp:lastModifiedBy>
  <cp:revision>5</cp:revision>
  <cp:lastPrinted>2022-11-18T07:09:00Z</cp:lastPrinted>
  <dcterms:created xsi:type="dcterms:W3CDTF">2022-11-18T07:29:00Z</dcterms:created>
  <dcterms:modified xsi:type="dcterms:W3CDTF">2022-11-18T08:03:00Z</dcterms:modified>
  <dc:language>ru-RU</dc:language>
</cp:coreProperties>
</file>