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Pr="005055E6" w:rsidRDefault="00EE77AA" w:rsidP="00EE77AA">
      <w:pPr>
        <w:jc w:val="center"/>
      </w:pPr>
      <w:bookmarkStart w:id="0" w:name="_Toc40363614"/>
      <w:r>
        <w:rPr>
          <w:rFonts w:ascii="Times New Roman" w:hAnsi="Times New Roman" w:cs="Times New Roman"/>
          <w:b/>
          <w:sz w:val="24"/>
          <w:szCs w:val="24"/>
        </w:rPr>
        <w:t>Обзор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законодательства на 20</w:t>
      </w:r>
      <w:r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2820F8" w:rsidRPr="00DD6BFA" w:rsidRDefault="002820F8" w:rsidP="00AF21AA">
      <w:pPr>
        <w:pStyle w:val="1"/>
      </w:pPr>
      <w:r>
        <w:t>ФЕДЕРАЛЬНОЕ ЗАКОНОДАТЕЛЬСТВО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5165"/>
        <w:gridCol w:w="9877"/>
      </w:tblGrid>
      <w:tr w:rsidR="002820F8" w:rsidTr="00D7195B">
        <w:trPr>
          <w:trHeight w:val="423"/>
        </w:trPr>
        <w:tc>
          <w:tcPr>
            <w:tcW w:w="15614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1" w:name="_Toc40363616"/>
            <w:bookmarkStart w:id="2" w:name="_GoBack"/>
            <w:bookmarkEnd w:id="2"/>
            <w:r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1"/>
          </w:p>
        </w:tc>
      </w:tr>
      <w:tr w:rsidR="00ED6D8D" w:rsidTr="00ED6D8D">
        <w:trPr>
          <w:trHeight w:val="690"/>
        </w:trPr>
        <w:tc>
          <w:tcPr>
            <w:tcW w:w="572" w:type="dxa"/>
            <w:shd w:val="clear" w:color="auto" w:fill="FFFF00"/>
          </w:tcPr>
          <w:p w:rsidR="00ED6D8D" w:rsidRDefault="00ED6D8D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Минздрава России от 07.05.2020 </w:t>
            </w:r>
            <w:r w:rsidRPr="00ED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28-3</w:t>
            </w:r>
            <w:proofErr w:type="gram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/2-6111 &lt;О направлении рекомендаций по вопросам организации психологической и психотерапевтической помощи в связи с распространением новой </w:t>
            </w:r>
            <w:proofErr w:type="spell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ED6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-19&gt;</w:t>
            </w:r>
          </w:p>
        </w:tc>
        <w:tc>
          <w:tcPr>
            <w:tcW w:w="9877" w:type="dxa"/>
            <w:shd w:val="clear" w:color="auto" w:fill="FFFF00"/>
          </w:tcPr>
          <w:p w:rsid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рекомендации по вопросам организации психологической и психотерапевтической помощи медицинским работникам в связи с распространением новой </w:t>
            </w:r>
            <w:proofErr w:type="spell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В период нарастания пандемии естественным истощающим фактором становится стресс как следствие переживания в том числе: тяжелых физических и психологических условий труда; естественной тревоги или страха заражения себя, своих близких и коллег по работе; человеческих потерь при оказании медицинской помощи; повышения тревожности в связи с риском совершить ошибку в экстремальных условиях деятельности и возможного отношения к этому руководства и коллег;</w:t>
            </w:r>
            <w:proofErr w:type="gram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тревоги в связи с </w:t>
            </w:r>
            <w:proofErr w:type="spell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неукомплектованностью</w:t>
            </w:r>
            <w:proofErr w:type="spell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штата (отказ и </w:t>
            </w:r>
            <w:proofErr w:type="spell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несовладание</w:t>
            </w:r>
            <w:proofErr w:type="spell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с ситуацией у </w:t>
            </w:r>
            <w:proofErr w:type="gram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, отказ работать у штатного персонала изначально, в связи с перепрофилированием, выпадением из коллектива в связи с заражением); ожиданием наказания или порицания за совершенные ошибки в диагностике, лечении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документации и др.</w:t>
            </w:r>
          </w:p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В рекомендациях приведены в числе прочего: меры, которые могут быть приняты руководителем медицинского учреждения совместно со службой психологического сопровождения; меры, которые могут быть приняты самим руководителем; специальные меры, призванные снизить психологическую нагрузку на персонал; специальные меры по поощрению деятельности персонала, по поднятию морального духа 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доверия к руководству.</w:t>
            </w:r>
            <w:proofErr w:type="gramEnd"/>
          </w:p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приложениях </w:t>
            </w:r>
            <w:proofErr w:type="gram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на релаксацию, помогающие снять физическое и эмоциональное напряжение;</w:t>
            </w:r>
          </w:p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рекомендации по предупреждению психологического неблагополучия у медицинских работников;</w:t>
            </w:r>
          </w:p>
          <w:p w:rsidR="00ED6D8D" w:rsidRPr="00ED6D8D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медицинских работников по </w:t>
            </w:r>
            <w:proofErr w:type="spellStart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совладанию</w:t>
            </w:r>
            <w:proofErr w:type="spellEnd"/>
            <w:r w:rsidRPr="00ED6D8D">
              <w:rPr>
                <w:rFonts w:ascii="Times New Roman" w:hAnsi="Times New Roman" w:cs="Times New Roman"/>
                <w:sz w:val="24"/>
                <w:szCs w:val="24"/>
              </w:rPr>
              <w:t xml:space="preserve"> со стрессо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условиях пандемии COVID-19;</w:t>
            </w:r>
          </w:p>
          <w:p w:rsidR="00ED6D8D" w:rsidRPr="008161C5" w:rsidRDefault="00ED6D8D" w:rsidP="00ED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D8D">
              <w:rPr>
                <w:rFonts w:ascii="Times New Roman" w:hAnsi="Times New Roman" w:cs="Times New Roman"/>
                <w:sz w:val="24"/>
                <w:szCs w:val="24"/>
              </w:rPr>
              <w:t>рекомендации для населения по сохранению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ихического здоровья.</w:t>
            </w:r>
          </w:p>
        </w:tc>
      </w:tr>
      <w:tr w:rsidR="00A30F14" w:rsidTr="00A30F14">
        <w:trPr>
          <w:trHeight w:val="1245"/>
        </w:trPr>
        <w:tc>
          <w:tcPr>
            <w:tcW w:w="572" w:type="dxa"/>
            <w:shd w:val="clear" w:color="auto" w:fill="FFFF00"/>
          </w:tcPr>
          <w:p w:rsidR="00A30F14" w:rsidRDefault="00A30F14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A30F14" w:rsidRPr="00E84BB0" w:rsidRDefault="00A30F14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от 15.05.2020 N 30-4/326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B0">
              <w:rPr>
                <w:rFonts w:ascii="Times New Roman" w:hAnsi="Times New Roman" w:cs="Times New Roman"/>
                <w:sz w:val="24"/>
                <w:szCs w:val="24"/>
              </w:rPr>
              <w:t>&lt;О</w:t>
            </w:r>
            <w:proofErr w:type="gramEnd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 мерах, принимаемых органами исполнительной власти субъектов РФ в условиях распространения новой </w:t>
            </w:r>
            <w:proofErr w:type="spellStart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инфекции&gt;</w:t>
            </w:r>
          </w:p>
          <w:p w:rsidR="00A30F14" w:rsidRDefault="00A30F14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FFFF00"/>
          </w:tcPr>
          <w:p w:rsidR="00A30F14" w:rsidRPr="00E84BB0" w:rsidRDefault="00A30F14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Развертывание дополнительного коечного фонда для лечения </w:t>
            </w:r>
            <w:proofErr w:type="spellStart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>ковидных</w:t>
            </w:r>
            <w:proofErr w:type="spellEnd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не должно осуществляться за счет коечного фонда для лечения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 с иными видами заболеваний</w:t>
            </w:r>
          </w:p>
          <w:p w:rsidR="00A30F14" w:rsidRPr="00E84BB0" w:rsidRDefault="00A30F14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0">
              <w:rPr>
                <w:rFonts w:ascii="Times New Roman" w:hAnsi="Times New Roman" w:cs="Times New Roman"/>
                <w:sz w:val="24"/>
                <w:szCs w:val="24"/>
              </w:rPr>
              <w:t>Минздрав России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внимание на недопустимость:</w:t>
            </w:r>
          </w:p>
          <w:p w:rsidR="00A30F14" w:rsidRPr="00E84BB0" w:rsidRDefault="00A30F14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развертывания дополнительного коечного фонда для лечения пациентов с новой </w:t>
            </w:r>
            <w:proofErr w:type="spellStart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ущерб коечному фонду, предназначенному для оказания </w:t>
            </w:r>
            <w:r w:rsidRPr="00E8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пациен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с иными видами заболеваний;</w:t>
            </w:r>
          </w:p>
          <w:p w:rsidR="00A30F14" w:rsidRDefault="00A30F14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необоснованных отказов в госпитализации пациентов с новой </w:t>
            </w:r>
            <w:proofErr w:type="spellStart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84B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условиях снятия (смягчения) ограничений, введенных в связи с распространением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</w:tr>
      <w:tr w:rsidR="00A30F14" w:rsidTr="00A30F14">
        <w:trPr>
          <w:trHeight w:val="792"/>
        </w:trPr>
        <w:tc>
          <w:tcPr>
            <w:tcW w:w="572" w:type="dxa"/>
            <w:shd w:val="clear" w:color="auto" w:fill="FFFF00"/>
          </w:tcPr>
          <w:p w:rsidR="00A30F14" w:rsidRDefault="00A30F14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A30F14" w:rsidRPr="00E84BB0" w:rsidRDefault="00A30F14" w:rsidP="00A3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14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15 мая 2020 г. N 1272-р</w:t>
            </w:r>
          </w:p>
        </w:tc>
        <w:tc>
          <w:tcPr>
            <w:tcW w:w="9877" w:type="dxa"/>
            <w:shd w:val="clear" w:color="auto" w:fill="FFFF00"/>
          </w:tcPr>
          <w:p w:rsidR="00A30F14" w:rsidRPr="00A30F14" w:rsidRDefault="00A30F14" w:rsidP="00A3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при </w:t>
            </w:r>
            <w:proofErr w:type="gramStart"/>
            <w:r w:rsidRPr="00A30F14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A30F14">
              <w:rPr>
                <w:rFonts w:ascii="Times New Roman" w:hAnsi="Times New Roman" w:cs="Times New Roman"/>
                <w:sz w:val="24"/>
                <w:szCs w:val="24"/>
              </w:rPr>
              <w:t xml:space="preserve"> каких осложнений от </w:t>
            </w:r>
            <w:proofErr w:type="spellStart"/>
            <w:r w:rsidRPr="00A30F1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A30F14">
              <w:rPr>
                <w:rFonts w:ascii="Times New Roman" w:hAnsi="Times New Roman" w:cs="Times New Roman"/>
                <w:sz w:val="24"/>
                <w:szCs w:val="24"/>
              </w:rPr>
              <w:t xml:space="preserve"> медикам полагается страховая выплата.</w:t>
            </w:r>
          </w:p>
          <w:p w:rsidR="00A30F14" w:rsidRPr="00E84BB0" w:rsidRDefault="00A30F14" w:rsidP="00A3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1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определило перечень заболеваний и осложнений, при развитии или обострении которых на фоне заражения </w:t>
            </w:r>
            <w:proofErr w:type="spellStart"/>
            <w:r w:rsidRPr="00A30F14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A30F14">
              <w:rPr>
                <w:rFonts w:ascii="Times New Roman" w:hAnsi="Times New Roman" w:cs="Times New Roman"/>
                <w:sz w:val="24"/>
                <w:szCs w:val="24"/>
              </w:rPr>
              <w:t xml:space="preserve"> медработники будут получать единовременную страховую выплату. В этом списке - острые респираторные инфекции верхних дыхательных путей, вирусная пневмония, токсическое поражение печени,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легочный отек, сепсис и другие.</w:t>
            </w:r>
          </w:p>
        </w:tc>
      </w:tr>
      <w:tr w:rsidR="00A802C2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A802C2" w:rsidRPr="0034468E" w:rsidRDefault="00A802C2" w:rsidP="00A802C2">
            <w:pPr>
              <w:pStyle w:val="1"/>
              <w:outlineLvl w:val="0"/>
            </w:pPr>
            <w:bookmarkStart w:id="3" w:name="_Toc40363617"/>
            <w:r>
              <w:t>СОЦИАЛЬНЫЕ ПРАВА (право на социальное обеспечение)</w:t>
            </w:r>
            <w:bookmarkEnd w:id="3"/>
          </w:p>
        </w:tc>
      </w:tr>
      <w:tr w:rsidR="006C0E34" w:rsidTr="006C0E34">
        <w:trPr>
          <w:trHeight w:val="423"/>
        </w:trPr>
        <w:tc>
          <w:tcPr>
            <w:tcW w:w="572" w:type="dxa"/>
            <w:shd w:val="clear" w:color="auto" w:fill="FFFF00"/>
          </w:tcPr>
          <w:p w:rsidR="006C0E34" w:rsidRDefault="006C0E34" w:rsidP="0070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6C0E34" w:rsidRPr="002015D9" w:rsidRDefault="006C0E34" w:rsidP="0020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4">
              <w:rPr>
                <w:rFonts w:ascii="Times New Roman" w:hAnsi="Times New Roman" w:cs="Times New Roman"/>
                <w:sz w:val="24"/>
                <w:szCs w:val="24"/>
              </w:rPr>
              <w:t>&lt;Письмо&gt; Минздрава России от 16.05.2020 N 11-0</w:t>
            </w:r>
            <w:proofErr w:type="gramStart"/>
            <w:r w:rsidRPr="006C0E3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6C0E34">
              <w:rPr>
                <w:rFonts w:ascii="Times New Roman" w:hAnsi="Times New Roman" w:cs="Times New Roman"/>
                <w:sz w:val="24"/>
                <w:szCs w:val="24"/>
              </w:rPr>
              <w:t xml:space="preserve">/2-6574 &lt;О выплатах стимулирующего характера медицинским и иным работникам в связи с распространением новой </w:t>
            </w:r>
            <w:proofErr w:type="spellStart"/>
            <w:r w:rsidRPr="006C0E3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C0E3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&gt;</w:t>
            </w:r>
          </w:p>
        </w:tc>
        <w:tc>
          <w:tcPr>
            <w:tcW w:w="9877" w:type="dxa"/>
            <w:shd w:val="clear" w:color="auto" w:fill="FFFF00"/>
          </w:tcPr>
          <w:p w:rsidR="006C0E34" w:rsidRPr="006C0E34" w:rsidRDefault="006C0E34" w:rsidP="006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4">
              <w:rPr>
                <w:rFonts w:ascii="Times New Roman" w:hAnsi="Times New Roman" w:cs="Times New Roman"/>
                <w:sz w:val="24"/>
                <w:szCs w:val="24"/>
              </w:rPr>
              <w:t>Не позднее 18.05.2020 предписано обеспечить доначисление и фактическое перечисление за апрель выплат стимулирующего характера работникам, участвующим в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помощи гражданам с COVID-19</w:t>
            </w:r>
          </w:p>
          <w:p w:rsidR="006C0E34" w:rsidRPr="006C0E34" w:rsidRDefault="006C0E34" w:rsidP="006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4">
              <w:rPr>
                <w:rFonts w:ascii="Times New Roman" w:hAnsi="Times New Roman" w:cs="Times New Roman"/>
                <w:sz w:val="24"/>
                <w:szCs w:val="24"/>
              </w:rPr>
              <w:t>В Правила предоставления субъектам РФ средств из федерального бюджета на осуществление выплат стимулирующего характера, утвержденные постановлением Правительства РФ от 12.04.2020 N 484, внесены изменения, предусматривающие начисление выплат стимулирующего характера в полном объеме, не зависимо от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 отработанного времени.</w:t>
            </w:r>
          </w:p>
          <w:p w:rsidR="006C0E34" w:rsidRPr="006C0E34" w:rsidRDefault="006C0E34" w:rsidP="006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распоряжением Правительства РФ от 15.05.2020 N 1273-р утверждено дополнительное распределение иных межбюджетных трансфертов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РФ на указанные цели.</w:t>
            </w:r>
          </w:p>
          <w:p w:rsidR="006C0E34" w:rsidRPr="002015D9" w:rsidRDefault="006C0E34" w:rsidP="006C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4">
              <w:rPr>
                <w:rFonts w:ascii="Times New Roman" w:hAnsi="Times New Roman" w:cs="Times New Roman"/>
                <w:sz w:val="24"/>
                <w:szCs w:val="24"/>
              </w:rPr>
              <w:t>Отчет о начислении и фактическом осуществлении выплат медицинским и иным работникам необходимо представить до 18.00 по московскому времени 18.05.2020 по форме заявки/отчета с использованием автоматизированной системы мониторинга ФГБУ "ЦНИИОИЗ" Минздрава России, расположенной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http://asmms.mednet.ru.</w:t>
            </w:r>
          </w:p>
        </w:tc>
      </w:tr>
      <w:tr w:rsidR="00345CFB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4" w:name="_Toc40363618"/>
            <w:r>
              <w:lastRenderedPageBreak/>
              <w:t>СОЦИАЛЬНЫЕ ПРАВА (иные)</w:t>
            </w:r>
            <w:bookmarkEnd w:id="4"/>
          </w:p>
        </w:tc>
      </w:tr>
      <w:tr w:rsidR="001C25CD" w:rsidTr="001C25CD">
        <w:trPr>
          <w:trHeight w:val="2228"/>
        </w:trPr>
        <w:tc>
          <w:tcPr>
            <w:tcW w:w="572" w:type="dxa"/>
            <w:shd w:val="clear" w:color="auto" w:fill="FFFF00"/>
          </w:tcPr>
          <w:p w:rsidR="001C25CD" w:rsidRDefault="001C25CD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1C25CD" w:rsidRPr="006A71B9" w:rsidRDefault="001C25CD" w:rsidP="006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B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A71B9">
              <w:rPr>
                <w:rFonts w:ascii="Times New Roman" w:hAnsi="Times New Roman" w:cs="Times New Roman"/>
                <w:sz w:val="24"/>
                <w:szCs w:val="24"/>
              </w:rPr>
              <w:t>аботу за компьютером исключили из числа вредных факторов для медосмотров работников</w:t>
            </w:r>
          </w:p>
          <w:p w:rsidR="001C25CD" w:rsidRPr="0059771F" w:rsidRDefault="001C25CD" w:rsidP="006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FFFF00"/>
          </w:tcPr>
          <w:p w:rsidR="001C25CD" w:rsidRDefault="001C25CD" w:rsidP="0059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 мая вступят в силу изменения, в соответствии с которыми работу за компьютером исключили из числа вредных факторов для медосмотров работников. </w:t>
            </w:r>
          </w:p>
          <w:p w:rsidR="001C25CD" w:rsidRPr="006A71B9" w:rsidRDefault="001C25CD" w:rsidP="006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6A71B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71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и Министерства здравоохранения РФ от 3 апреля 2020 г. NN 187н, 268н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</w:t>
            </w:r>
            <w:r w:rsidRPr="006A71B9">
              <w:rPr>
                <w:rFonts w:ascii="Times New Roman" w:hAnsi="Times New Roman" w:cs="Times New Roman"/>
                <w:sz w:val="24"/>
                <w:szCs w:val="24"/>
              </w:rPr>
              <w:t>в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      </w:r>
          </w:p>
          <w:p w:rsidR="001C25CD" w:rsidRDefault="001C25CD" w:rsidP="006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B9">
              <w:rPr>
                <w:rFonts w:ascii="Times New Roman" w:hAnsi="Times New Roman" w:cs="Times New Roman"/>
                <w:sz w:val="24"/>
                <w:szCs w:val="24"/>
              </w:rPr>
              <w:t>Изменения коснулись пункта 3.2.2.4, устанавливающего в качестве вредного фактора электромагнитное поле широкополосного спектра частот, в результате чего из нормы было убрано упоминание работы за компьютером:</w:t>
            </w:r>
          </w:p>
          <w:p w:rsidR="001C25CD" w:rsidRPr="006A71B9" w:rsidRDefault="001C25CD" w:rsidP="006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30"/>
            </w:tblGrid>
            <w:tr w:rsidR="001C25CD" w:rsidRPr="006A71B9" w:rsidTr="006A71B9"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5CD" w:rsidRPr="006A71B9" w:rsidRDefault="001C25CD" w:rsidP="006A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71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Старая редакция</w:t>
                  </w:r>
                </w:p>
              </w:tc>
              <w:tc>
                <w:tcPr>
                  <w:tcW w:w="480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5CD" w:rsidRPr="006A71B9" w:rsidRDefault="001C25CD" w:rsidP="006A71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71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Новая редакция</w:t>
                  </w:r>
                </w:p>
              </w:tc>
            </w:tr>
            <w:tr w:rsidR="001C25CD" w:rsidRPr="006A71B9" w:rsidTr="006A71B9">
              <w:tc>
                <w:tcPr>
                  <w:tcW w:w="478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5CD" w:rsidRPr="006A71B9" w:rsidRDefault="001C25CD" w:rsidP="006A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71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электромагнитное поле широкополосного спектра </w:t>
                  </w:r>
                  <w:r w:rsidRPr="006A71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частот от ПЭВМ (работа по считыванию, вводу информации, работа в режиме диалога в сумме не менее 50% рабочего времени)</w:t>
                  </w:r>
                </w:p>
              </w:tc>
              <w:tc>
                <w:tcPr>
                  <w:tcW w:w="4800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25CD" w:rsidRPr="006A71B9" w:rsidRDefault="001C25CD" w:rsidP="006A7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71B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электромагнитное поле широкополосного спектра частот </w:t>
                  </w:r>
                  <w:r w:rsidRPr="006A71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(5 Гц - 2 кГц, 2 кГц - 400 кГц) (при превышении предельно допустимого уровня)</w:t>
                  </w:r>
                </w:p>
              </w:tc>
            </w:tr>
          </w:tbl>
          <w:p w:rsidR="001C25CD" w:rsidRPr="0059771F" w:rsidRDefault="001C25CD" w:rsidP="006A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5CD" w:rsidTr="00D7195B">
        <w:trPr>
          <w:trHeight w:val="2227"/>
        </w:trPr>
        <w:tc>
          <w:tcPr>
            <w:tcW w:w="572" w:type="dxa"/>
            <w:shd w:val="clear" w:color="auto" w:fill="FFFF00"/>
          </w:tcPr>
          <w:p w:rsidR="001C25CD" w:rsidRDefault="001C25CD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1C25CD" w:rsidRPr="006A71B9" w:rsidRDefault="001C25CD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D">
              <w:rPr>
                <w:rFonts w:ascii="Times New Roman" w:hAnsi="Times New Roman" w:cs="Times New Roman"/>
                <w:sz w:val="24"/>
                <w:szCs w:val="24"/>
              </w:rPr>
              <w:t>Постановление Конституционного Суда РФ от 19.05.2020 N 25-П "По делу о проверке конституционности абзаца восьмого части первой статьи 59 Трудового кодекса Российской Федерации в связи с жалобой гражданина И.А. Сысоев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9877" w:type="dxa"/>
            <w:shd w:val="clear" w:color="auto" w:fill="FFFF00"/>
          </w:tcPr>
          <w:p w:rsidR="001C25CD" w:rsidRPr="001C25CD" w:rsidRDefault="001C25CD" w:rsidP="001C2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</w:t>
            </w:r>
          </w:p>
          <w:p w:rsidR="001C25CD" w:rsidRPr="001C25CD" w:rsidRDefault="001C25CD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РФ признал абзац восьмой части первой статьи 59 Трудового кодекса </w:t>
            </w:r>
            <w:proofErr w:type="gramStart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 xml:space="preserve"> не противоречащим Конституции РФ в той мере, в какой он по своему конституционно-правовому смыслу в системе действующего правового регулирования не предполагает заключения с работником срочного трудового договора (в том числе многократного заключения такого договора на выполнение работы по одной и той же должности (профессии, специальности)) в целях </w:t>
            </w:r>
            <w:proofErr w:type="gramStart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>обеспечения исполнения обязательств работодателя по заключенным им гражданско-правовым договорам об оказании услуг, относящихся к его уставной деятельности, а также последующего увольнения работника в связи с истечением срока трудового договора, если срочный характер трудовых отношений обусловлен исключительно ограниченным сроком действия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гражданско-правовых договоров.</w:t>
            </w:r>
            <w:proofErr w:type="gramEnd"/>
          </w:p>
          <w:p w:rsidR="001C25CD" w:rsidRPr="001C25CD" w:rsidRDefault="001C25CD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РФ, в частности, отметил, что срок действия гражданско-правовых договоров возмездного оказания услуг в той или иной сфере деятельности (в том числе в области охранной деятельности), устанавливаемый при их заключении по соглашению между работодателем, оказывающим данные услуги, и заказчиками соответствующих услуг, сам по себе не предопределяет срочного характера работы, выполняемой работниками в </w:t>
            </w:r>
            <w:r w:rsidRPr="001C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обеспечения исполнения обязательств работодателя по таким</w:t>
            </w:r>
            <w:proofErr w:type="gramEnd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гражданско-правовым договорам, абзац восьмой части первой статьи 59 Трудового кодекса РФ не может быть применен в качестве правового основания для заключения с этими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срочных трудовых договоров.</w:t>
            </w:r>
          </w:p>
          <w:p w:rsidR="001C25CD" w:rsidRPr="001C25CD" w:rsidRDefault="001C25CD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>Указанное тем более актуально в ситуации,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(профессии, специальности).</w:t>
            </w:r>
            <w:proofErr w:type="gramEnd"/>
          </w:p>
          <w:p w:rsidR="001C25CD" w:rsidRDefault="001C25CD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D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факт многократности заключения срочных трудовых договоров для выполнения работы по одной и той же должности (профессии, специальности), как правило, свидетельствует об отсутствии обстоятельств, объективно препятствующих установлению трудовых отношений на неопределенный срок. </w:t>
            </w:r>
            <w:proofErr w:type="gramStart"/>
            <w:r w:rsidRPr="001C25CD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указывал и Пленум Верховного Суда РФ в постановлении от 17 марта 2004 года N 2 "О применении судами Российской Федерации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Федерации".</w:t>
            </w:r>
            <w:proofErr w:type="gramEnd"/>
          </w:p>
        </w:tc>
      </w:tr>
      <w:tr w:rsidR="007053E7" w:rsidTr="00D7195B">
        <w:trPr>
          <w:trHeight w:val="77"/>
        </w:trPr>
        <w:tc>
          <w:tcPr>
            <w:tcW w:w="15614" w:type="dxa"/>
            <w:gridSpan w:val="3"/>
            <w:shd w:val="clear" w:color="auto" w:fill="92D050"/>
          </w:tcPr>
          <w:p w:rsidR="007053E7" w:rsidRPr="00ED0F07" w:rsidRDefault="00371850" w:rsidP="007053E7">
            <w:pPr>
              <w:pStyle w:val="1"/>
              <w:outlineLvl w:val="0"/>
            </w:pPr>
            <w:bookmarkStart w:id="5" w:name="_Toc40363619"/>
            <w:r>
              <w:lastRenderedPageBreak/>
              <w:t>КУЛЬТУРНЫЕ ПРАВА</w:t>
            </w:r>
            <w:bookmarkEnd w:id="5"/>
          </w:p>
        </w:tc>
      </w:tr>
      <w:tr w:rsidR="00906F56" w:rsidTr="00D7195B">
        <w:trPr>
          <w:trHeight w:val="557"/>
        </w:trPr>
        <w:tc>
          <w:tcPr>
            <w:tcW w:w="572" w:type="dxa"/>
            <w:shd w:val="clear" w:color="auto" w:fill="FFFF00"/>
          </w:tcPr>
          <w:p w:rsidR="00906F56" w:rsidRDefault="00906F56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906F56" w:rsidRDefault="00906F56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12 мая 2020 г. № ВБ-1007/03 “О поэтапном возобновлении деятельности образовательных организаций”</w:t>
            </w:r>
          </w:p>
        </w:tc>
        <w:tc>
          <w:tcPr>
            <w:tcW w:w="9877" w:type="dxa"/>
            <w:shd w:val="clear" w:color="auto" w:fill="FFFF00"/>
          </w:tcPr>
          <w:p w:rsidR="00906F56" w:rsidRPr="00906F56" w:rsidRDefault="00906F56" w:rsidP="0090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разработало рекомендации по возобновлению деятельности детсадов и школ. Это должно произойти на втором и третьем этапах снятия ограничений согласно указаниям </w:t>
            </w:r>
            <w:proofErr w:type="spellStart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нужно оценить потребность родителей в посещении их детьми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после 11 мая 2020 г.</w:t>
            </w:r>
          </w:p>
          <w:p w:rsidR="00906F56" w:rsidRPr="00906F56" w:rsidRDefault="00906F56" w:rsidP="0090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При переходе в режим функционирования необходимо обеспечить работу отдельных дежурных групп или классов, а в дальнейшем - всей образовательной организации при строгом соблюдении санит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арно-эпидемиологических правил.</w:t>
            </w:r>
          </w:p>
          <w:p w:rsidR="00906F56" w:rsidRPr="005C7BE4" w:rsidRDefault="00906F56" w:rsidP="0090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56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рекомендуется полное снятие режима ограничений со всех образовательных организаций, определив сроки окончания и реализации учебного плана с учетом рекомендаций регионального </w:t>
            </w:r>
            <w:proofErr w:type="spellStart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оперштаба</w:t>
            </w:r>
            <w:proofErr w:type="spellEnd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 xml:space="preserve">. Также следует строго учитывать рекомендации </w:t>
            </w:r>
            <w:proofErr w:type="spellStart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возможным изменением </w:t>
            </w:r>
            <w:proofErr w:type="spellStart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эпидобстановки</w:t>
            </w:r>
            <w:proofErr w:type="spellEnd"/>
            <w:r w:rsidRPr="0090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D8E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6" w:name="_Toc40363621"/>
            <w:r>
              <w:lastRenderedPageBreak/>
              <w:t>ЭКОНОМИЧЕСКИЕ ПРАВА</w:t>
            </w:r>
            <w:bookmarkEnd w:id="6"/>
          </w:p>
        </w:tc>
      </w:tr>
      <w:tr w:rsidR="00FA7A64" w:rsidTr="00D7195B">
        <w:trPr>
          <w:trHeight w:val="1345"/>
        </w:trPr>
        <w:tc>
          <w:tcPr>
            <w:tcW w:w="572" w:type="dxa"/>
            <w:shd w:val="clear" w:color="auto" w:fill="FFFF00"/>
          </w:tcPr>
          <w:p w:rsidR="00FA7A64" w:rsidRDefault="00FA7A64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FA7A64" w:rsidRPr="0023559D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15.05.2020 N ИН-06-59/89 "О порядке взаимодействия с заемщиками по вопросам установления льготног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периода или реструктуризации"</w:t>
            </w:r>
          </w:p>
        </w:tc>
        <w:tc>
          <w:tcPr>
            <w:tcW w:w="9877" w:type="dxa"/>
            <w:shd w:val="clear" w:color="auto" w:fill="FFFF00"/>
          </w:tcPr>
          <w:p w:rsidR="00FA7A64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Банк России обращает внимание кредиторов на необходимость обеспечения заемщикам возможности беспрепятственной реализации их права на получение льготного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A64" w:rsidRPr="00FA7A64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Банк также рекомендует, в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стности:</w:t>
            </w:r>
          </w:p>
          <w:p w:rsidR="00FA7A64" w:rsidRPr="00FA7A64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предусмотреть фиксацию обращения заемщика с требованием об установлении льготного периода, направленного кредитору любым из способов, предусмотренных Федеральным законом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в том числе с использованием средств подвижной радиотелефонной связи с</w:t>
            </w:r>
            <w:proofErr w:type="gramEnd"/>
            <w:r w:rsidRPr="00FA7A64">
              <w:rPr>
                <w:rFonts w:ascii="Times New Roman" w:hAnsi="Times New Roman" w:cs="Times New Roman"/>
                <w:sz w:val="24"/>
                <w:szCs w:val="24"/>
              </w:rPr>
              <w:t xml:space="preserve"> абонентского номера, информация о котором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доставлена заемщиком кредитору;</w:t>
            </w:r>
          </w:p>
          <w:p w:rsidR="00FA7A64" w:rsidRPr="00FA7A64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раскрывать информацию о возможности установления заемщикам льготного периода на официальном сайте кредитора в разделах, посвященных кредитованию, а также рассмотреть возможность доведения указанной информации по иным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взаимодействия с заемщиками;</w:t>
            </w:r>
          </w:p>
          <w:p w:rsidR="00FA7A64" w:rsidRPr="00FA7A64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кредитор помимо льготного периода предлагает заемщику собственные программы реструктуризации кредитов (займов), в целях более полного информирования заемщика доводить до его сведения информацию обо всех </w:t>
            </w:r>
            <w:proofErr w:type="gramStart"/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FA7A64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так и льготного периода;</w:t>
            </w:r>
          </w:p>
          <w:p w:rsidR="00FA7A64" w:rsidRPr="0023559D" w:rsidRDefault="00FA7A64" w:rsidP="00FA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A64">
              <w:rPr>
                <w:rFonts w:ascii="Times New Roman" w:hAnsi="Times New Roman" w:cs="Times New Roman"/>
                <w:sz w:val="24"/>
                <w:szCs w:val="24"/>
              </w:rPr>
              <w:t>при выборе заемщиком способа реструктуризации кредита (займа) (собственная программа или льготный период) фиксировать волю заемщика относительно выбранного им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реструктуризац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условий.</w:t>
            </w:r>
          </w:p>
        </w:tc>
      </w:tr>
      <w:tr w:rsidR="00043691" w:rsidTr="00043691">
        <w:trPr>
          <w:trHeight w:val="706"/>
        </w:trPr>
        <w:tc>
          <w:tcPr>
            <w:tcW w:w="572" w:type="dxa"/>
            <w:shd w:val="clear" w:color="auto" w:fill="FFFF00"/>
          </w:tcPr>
          <w:p w:rsidR="00043691" w:rsidRDefault="00043691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043691" w:rsidRPr="0023559D" w:rsidRDefault="00043691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D">
              <w:rPr>
                <w:rFonts w:ascii="Times New Roman" w:hAnsi="Times New Roman" w:cs="Times New Roman"/>
                <w:sz w:val="24"/>
                <w:szCs w:val="24"/>
              </w:rPr>
              <w:t>Информация Банка России от 15 мая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003D">
              <w:rPr>
                <w:rFonts w:ascii="Times New Roman" w:hAnsi="Times New Roman" w:cs="Times New Roman"/>
                <w:sz w:val="24"/>
                <w:szCs w:val="24"/>
              </w:rPr>
              <w:t>Банк России выявил недостатки при предоставлении гражданам кредитных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77" w:type="dxa"/>
            <w:shd w:val="clear" w:color="auto" w:fill="FFFF00"/>
          </w:tcPr>
          <w:p w:rsidR="00043691" w:rsidRDefault="00043691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03D">
              <w:rPr>
                <w:rFonts w:ascii="Times New Roman" w:hAnsi="Times New Roman" w:cs="Times New Roman"/>
                <w:sz w:val="24"/>
                <w:szCs w:val="24"/>
              </w:rPr>
              <w:t>екоторые кредиторы неточно информируют граждан о порядке и условиях получения кредитных каникул, а заемщикам, которые вполне соответствуют критериям закона, предлагают собственные, менее выгодные программы реструктуризации.</w:t>
            </w:r>
          </w:p>
          <w:p w:rsidR="00043691" w:rsidRDefault="00043691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D">
              <w:rPr>
                <w:rFonts w:ascii="Times New Roman" w:hAnsi="Times New Roman" w:cs="Times New Roman"/>
                <w:sz w:val="24"/>
                <w:szCs w:val="24"/>
              </w:rPr>
              <w:t>Не все граждане понимают разницу между кредитными каникулами по закону и реструктуризацией кредита или займа по собственной программе кредитора, и кредиторы не разъясняют людям эти особенности. Иногда информация о различных возможностях реструктурировать кредит или заем или вовсе не размещается на сайте финансовой организации, или скрыта в глубине сайта.</w:t>
            </w:r>
          </w:p>
          <w:p w:rsidR="00043691" w:rsidRPr="00EB003D" w:rsidRDefault="00043691" w:rsidP="00EB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D">
              <w:rPr>
                <w:rFonts w:ascii="Times New Roman" w:hAnsi="Times New Roman" w:cs="Times New Roman"/>
                <w:sz w:val="24"/>
                <w:szCs w:val="24"/>
              </w:rPr>
              <w:t>Помимо этого, выявлены случаи, когда заемщиков приглашают с документами в офис, отказываясь принимать заявление о кредитных каникулах дистанционно, хотя должны это делать в соответствии с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Банка России.</w:t>
            </w:r>
          </w:p>
          <w:p w:rsidR="00043691" w:rsidRPr="0023559D" w:rsidRDefault="00043691" w:rsidP="00EB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3D">
              <w:rPr>
                <w:rFonts w:ascii="Times New Roman" w:hAnsi="Times New Roman" w:cs="Times New Roman"/>
                <w:sz w:val="24"/>
                <w:szCs w:val="24"/>
              </w:rPr>
              <w:t xml:space="preserve">Банк России рекомендовал кредиторам информировать заемщиков всеми возможными способами обо всех существующих вариантах реструктуризации, а также о порядке </w:t>
            </w:r>
            <w:r w:rsidRPr="00EB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процентов и возвращения к графику платежей, всех правилах и особенностях оформления различных видов кредитных каникул, отсрочек и льгот. Заемщик должен понимать разницу между альтернативными способами реструктуризации, а кредитор — фиксировать волю клиента при выборе такой реструктуризации, говорится в письме регулятора.</w:t>
            </w:r>
          </w:p>
        </w:tc>
      </w:tr>
      <w:tr w:rsidR="00043691" w:rsidTr="00043691">
        <w:trPr>
          <w:trHeight w:val="1680"/>
        </w:trPr>
        <w:tc>
          <w:tcPr>
            <w:tcW w:w="572" w:type="dxa"/>
            <w:shd w:val="clear" w:color="auto" w:fill="FFFF00"/>
          </w:tcPr>
          <w:p w:rsidR="00043691" w:rsidRDefault="00043691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043691" w:rsidRPr="00043691" w:rsidRDefault="00043691" w:rsidP="0004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мая 2020 г. N 685 "О внесении изменения в постановление Правительства Российской Федерации от 2 апреля 2020 г. N 409"</w:t>
            </w:r>
          </w:p>
          <w:p w:rsidR="00043691" w:rsidRPr="0023559D" w:rsidRDefault="00043691" w:rsidP="0023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FFFF00"/>
          </w:tcPr>
          <w:p w:rsidR="00043691" w:rsidRPr="00043691" w:rsidRDefault="00043691" w:rsidP="0004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ориентированные НКО могут рассчитывать на налоговые послабления, введенные в связи с </w:t>
            </w:r>
            <w:proofErr w:type="spellStart"/>
            <w:r w:rsidRPr="00043691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04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691" w:rsidRDefault="00043691" w:rsidP="0004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9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решило распространить введенные в связи с </w:t>
            </w:r>
            <w:proofErr w:type="spellStart"/>
            <w:r w:rsidRPr="00043691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043691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послабления на организации, включенные в реестр социально ориентированных некоммерческих организаций, получающих меры поддержки с учетом введения ограничительных мер.</w:t>
            </w:r>
          </w:p>
          <w:p w:rsidR="00043691" w:rsidRDefault="00043691" w:rsidP="0004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9" w:rsidTr="00AC78B9">
        <w:trPr>
          <w:trHeight w:val="1415"/>
        </w:trPr>
        <w:tc>
          <w:tcPr>
            <w:tcW w:w="572" w:type="dxa"/>
            <w:shd w:val="clear" w:color="auto" w:fill="FFFF00"/>
          </w:tcPr>
          <w:p w:rsidR="00AC78B9" w:rsidRDefault="00AC78B9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AC78B9" w:rsidRPr="00E74728" w:rsidRDefault="00AC78B9" w:rsidP="00A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FE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16 мая 2020 г. N 1286-р</w:t>
            </w:r>
          </w:p>
        </w:tc>
        <w:tc>
          <w:tcPr>
            <w:tcW w:w="9877" w:type="dxa"/>
            <w:shd w:val="clear" w:color="auto" w:fill="FFFF00"/>
          </w:tcPr>
          <w:p w:rsidR="00AC78B9" w:rsidRPr="00AC78B9" w:rsidRDefault="00AC78B9" w:rsidP="00A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9">
              <w:rPr>
                <w:rFonts w:ascii="Times New Roman" w:hAnsi="Times New Roman" w:cs="Times New Roman"/>
                <w:sz w:val="24"/>
                <w:szCs w:val="24"/>
              </w:rPr>
              <w:t>Банкам возместят недополученные доходы по кредитам на возобновление деятельности.</w:t>
            </w:r>
          </w:p>
          <w:p w:rsidR="00AC78B9" w:rsidRPr="00E74728" w:rsidRDefault="00AC78B9" w:rsidP="00A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9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получит из резервного фонда Правительства 5,7 </w:t>
            </w:r>
            <w:proofErr w:type="gramStart"/>
            <w:r w:rsidRPr="00AC78B9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AC78B9">
              <w:rPr>
                <w:rFonts w:ascii="Times New Roman" w:hAnsi="Times New Roman" w:cs="Times New Roman"/>
                <w:sz w:val="24"/>
                <w:szCs w:val="24"/>
              </w:rPr>
              <w:t xml:space="preserve"> руб. на предоставление субсидий кредитным организациям в целях возмещения недополученных ими доходов по кредитам, выданным в 2020 г. </w:t>
            </w:r>
            <w:proofErr w:type="spellStart"/>
            <w:r w:rsidRPr="00AC78B9">
              <w:rPr>
                <w:rFonts w:ascii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AC78B9">
              <w:rPr>
                <w:rFonts w:ascii="Times New Roman" w:hAnsi="Times New Roman" w:cs="Times New Roman"/>
                <w:sz w:val="24"/>
                <w:szCs w:val="24"/>
              </w:rPr>
              <w:t xml:space="preserve"> 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возобновление деятельности.</w:t>
            </w:r>
          </w:p>
        </w:tc>
      </w:tr>
      <w:tr w:rsidR="001316FE" w:rsidTr="00D7195B">
        <w:trPr>
          <w:trHeight w:val="677"/>
        </w:trPr>
        <w:tc>
          <w:tcPr>
            <w:tcW w:w="572" w:type="dxa"/>
            <w:shd w:val="clear" w:color="auto" w:fill="FFFF00"/>
          </w:tcPr>
          <w:p w:rsidR="001316FE" w:rsidRDefault="001316FE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1316FE" w:rsidRPr="00E74728" w:rsidRDefault="001316FE" w:rsidP="0013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FE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от 16 мая 2020 г. N 1297-р</w:t>
            </w:r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7" w:type="dxa"/>
            <w:shd w:val="clear" w:color="auto" w:fill="FFFF00"/>
          </w:tcPr>
          <w:p w:rsidR="001316FE" w:rsidRDefault="001316FE" w:rsidP="0013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выделит 12 </w:t>
            </w:r>
            <w:proofErr w:type="gramStart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 руб. государственным </w:t>
            </w:r>
            <w:proofErr w:type="spellStart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субсидирование ставки по льготным </w:t>
            </w:r>
            <w:proofErr w:type="spellStart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МСП. </w:t>
            </w:r>
          </w:p>
          <w:p w:rsidR="001316FE" w:rsidRPr="00E74728" w:rsidRDefault="001316FE" w:rsidP="0013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Это повысит доступность таких </w:t>
            </w:r>
            <w:proofErr w:type="spellStart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1316FE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компаний, пострад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авших от эпидемии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06C" w:rsidTr="00D7195B">
        <w:trPr>
          <w:trHeight w:val="2205"/>
        </w:trPr>
        <w:tc>
          <w:tcPr>
            <w:tcW w:w="572" w:type="dxa"/>
            <w:shd w:val="clear" w:color="auto" w:fill="FFFF00"/>
          </w:tcPr>
          <w:p w:rsidR="00A9106C" w:rsidRDefault="00A9106C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A9106C" w:rsidRPr="00392CE0" w:rsidRDefault="00A9106C" w:rsidP="00A9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мая 2020 г. - </w:t>
            </w: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разъяснила порядок уплаты НДФЛ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процентных доходов по вкладам.</w:t>
            </w:r>
          </w:p>
        </w:tc>
        <w:tc>
          <w:tcPr>
            <w:tcW w:w="9877" w:type="dxa"/>
            <w:shd w:val="clear" w:color="auto" w:fill="FFFF00"/>
          </w:tcPr>
          <w:p w:rsidR="00A9106C" w:rsidRDefault="00A9106C" w:rsidP="00A9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в налоговое законодательство установлено, что налоговая база в отношении процентных доходов по вкладам или остаткам на счетах в российских банках рассчитывается как их превышение над суммой процентов, рассчитанной как произведение одного миллиона рублей и ключевой ставки Банка России, действующей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число налогового периода.</w:t>
            </w:r>
          </w:p>
          <w:p w:rsidR="00A9106C" w:rsidRPr="00A9106C" w:rsidRDefault="00A9106C" w:rsidP="00A9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расчет совокупного процентного дохода физлица не будет приниматься доход по рублевым счетам, процентная ставка по которым в течение всего года не превышает 1%. Например, не будут учитываться зарплатные счета граждан, по которым ставка не превышает 1% процент. </w:t>
            </w:r>
            <w:proofErr w:type="gramStart"/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Также, как</w:t>
            </w:r>
            <w:proofErr w:type="gramEnd"/>
            <w:r w:rsidRPr="00A9106C">
              <w:rPr>
                <w:rFonts w:ascii="Times New Roman" w:hAnsi="Times New Roman" w:cs="Times New Roman"/>
                <w:sz w:val="24"/>
                <w:szCs w:val="24"/>
              </w:rPr>
              <w:t xml:space="preserve"> поясняет налоговая служба, не будут облагаться налогом процентные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счетам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06C" w:rsidRPr="00A9106C" w:rsidRDefault="00A9106C" w:rsidP="00A9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Кроме того, ФНС России особо подчеркивает, что сумма банковского вклада (как рублевого, так и валютного) не будет облагаться налогом, ведь она является имуществом физлица, а не его доходом.</w:t>
            </w:r>
          </w:p>
          <w:p w:rsidR="00A9106C" w:rsidRDefault="00A9106C" w:rsidP="00A9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Вышеописанные правила будут применяться к доходам, полученным налогоплательщиками начиная с 1 января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 xml:space="preserve">А значит НДФЛ начиная с налогового периода 2021 </w:t>
            </w:r>
            <w:proofErr w:type="gramStart"/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A9106C">
              <w:rPr>
                <w:rFonts w:ascii="Times New Roman" w:hAnsi="Times New Roman" w:cs="Times New Roman"/>
                <w:sz w:val="24"/>
                <w:szCs w:val="24"/>
              </w:rPr>
              <w:t xml:space="preserve"> будет облагаться совокупный процентный доход по вкладам (остаткам на счетах) в российских </w:t>
            </w:r>
            <w:r w:rsidRPr="00A9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банках, выплаченный физлицу за налоговый период (календарный год), за минусом необлагаемого процентного дохода.</w:t>
            </w:r>
          </w:p>
          <w:p w:rsidR="00A9106C" w:rsidRPr="00392CE0" w:rsidRDefault="00A9106C" w:rsidP="00A91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Гражданам не придется самостоятельно рассчитывать налог – за них это сделают налоговые органы на основе сведений о суммах выплаченных процентов, представляемых банками. Уплачивать налог нужно будет на основании сформированных налоговыми органами сводных налоговых уведомлений. Они будут направляться после окончания календарного года, в котором получены процентные доходы. Т. е. впервые произвести уплату налога за 2021 год налогоплательщики будут обязаны в 2022 году (до 1 декабря) на основании налогового уведомления,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аправленного налоговым органом.</w:t>
            </w:r>
          </w:p>
        </w:tc>
      </w:tr>
      <w:tr w:rsidR="002820F8" w:rsidTr="00D7195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7" w:name="_Toc40363622"/>
            <w:r>
              <w:lastRenderedPageBreak/>
              <w:t>ЧС И РЕЖИМ ПОВЫШЕННОЙ ГОТОВНОСТИ</w:t>
            </w:r>
            <w:bookmarkEnd w:id="7"/>
          </w:p>
        </w:tc>
      </w:tr>
      <w:tr w:rsidR="00DF7E9C" w:rsidTr="00DF7E9C">
        <w:trPr>
          <w:trHeight w:val="1840"/>
        </w:trPr>
        <w:tc>
          <w:tcPr>
            <w:tcW w:w="572" w:type="dxa"/>
            <w:shd w:val="clear" w:color="auto" w:fill="FFFF00"/>
          </w:tcPr>
          <w:p w:rsidR="00DF7E9C" w:rsidRDefault="00DF7E9C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DF7E9C" w:rsidRPr="00D37D0D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11.05.2020 N ЕВ-32091/15 (вместе с "Методическими рекомендациями </w:t>
            </w:r>
            <w:proofErr w:type="spell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случаях </w:t>
            </w:r>
            <w:proofErr w:type="gram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введения режима обязательного использования средств индивидуальной защиты</w:t>
            </w:r>
            <w:proofErr w:type="gram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убъектах Российской Федерации")</w:t>
            </w:r>
          </w:p>
        </w:tc>
        <w:tc>
          <w:tcPr>
            <w:tcW w:w="9877" w:type="dxa"/>
            <w:shd w:val="clear" w:color="auto" w:fill="FFFF00"/>
          </w:tcPr>
          <w:p w:rsid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России рекомендует не привлекать к ответственности магазины за нарушение посетителями режима обязательного ношения масок и перчаток, в случае если приняты меры по недопущению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Даны рекомендации органам власти регионов, организациям торговли и правоохранительным органам в случае введения в регионе или на его отдельных территориях режима обязательного использования населением в общественных местах средств индивидуальной защиты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масок, перчаток (далее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В частности, рекомендован порядок действий при попытке прохода посетителя без СИЗ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ерриторию организации торговли.</w:t>
            </w:r>
            <w:proofErr w:type="gramEnd"/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В случае введения на территории региона режима обязательного ношения СИЗ при обнаружении на территории торгового объекта посетителя, не использующего СИЗ, представитель организации осуществляет информирование посетителя о необходимости соблюдения обязательных требований и об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 нарушение такого режима.</w:t>
            </w:r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В случае несогласия посетителя исполнять такие требования представитель организации, не вступая в конфликт с нарушителем, вправе отказать ему в обслуживании на кассе, вызвать представителей органов внутренни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дел для пресечения нарушения.</w:t>
            </w:r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Организациям торговли также рекомендуется, в частности:</w:t>
            </w:r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до введения режима обязательного ношения </w:t>
            </w:r>
            <w:proofErr w:type="gram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власти регионов, органов местного самоуправления;</w:t>
            </w:r>
          </w:p>
          <w:p w:rsidR="00DF7E9C" w:rsidRP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сотрудников организации торговли </w:t>
            </w:r>
            <w:proofErr w:type="gram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E9C" w:rsidRDefault="00DF7E9C" w:rsidP="00DF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к введению режима обязательного ношения </w:t>
            </w:r>
            <w:proofErr w:type="gramStart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DF7E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проведение инструктажей персонала и тренингов по порядку действий в отношении посетителей торгового объекта,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нарушителей режима.</w:t>
            </w:r>
          </w:p>
        </w:tc>
      </w:tr>
      <w:tr w:rsidR="00D7195B" w:rsidTr="00D7195B">
        <w:trPr>
          <w:trHeight w:val="1657"/>
        </w:trPr>
        <w:tc>
          <w:tcPr>
            <w:tcW w:w="572" w:type="dxa"/>
            <w:shd w:val="clear" w:color="auto" w:fill="FFFF00"/>
          </w:tcPr>
          <w:p w:rsidR="00D7195B" w:rsidRDefault="00D7195B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D7195B" w:rsidRPr="007C6896" w:rsidRDefault="00D7195B" w:rsidP="00A3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24"/>
                <w:szCs w:val="24"/>
              </w:rPr>
              <w:t>Временное руководство ВОЗ от 15.05.2020 "Очистка и дезинфекция поверхностей окружающей среды в контексте эпидемии COVID-19"</w:t>
            </w:r>
          </w:p>
        </w:tc>
        <w:tc>
          <w:tcPr>
            <w:tcW w:w="9877" w:type="dxa"/>
            <w:shd w:val="clear" w:color="auto" w:fill="FFFF00"/>
          </w:tcPr>
          <w:p w:rsidR="00D7195B" w:rsidRDefault="00D7195B" w:rsidP="00A33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24"/>
                <w:szCs w:val="24"/>
              </w:rPr>
              <w:t>ВОЗ разработано руководство по очистке и дезинфекции поверхностей окружающей среды в контексте эпидемии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95B" w:rsidRPr="00D7195B" w:rsidRDefault="00D7195B" w:rsidP="00D7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24"/>
                <w:szCs w:val="24"/>
              </w:rPr>
              <w:t>Отмечается, что поверхности окружающей среды с большей вероятностью будут загрязнены вирусом COVID-19 в медицинских учреждениях, где выполняются определенные медицинские процедуры. Поэтому эти поверхности, особенно там, где ухаживают за пациентами с COVID-19, должны быть должным образом очищены и продезинфицированы, чтобы предотвратить дальнейшую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ачу.</w:t>
            </w:r>
          </w:p>
          <w:p w:rsidR="00D7195B" w:rsidRPr="00D7195B" w:rsidRDefault="00D7195B" w:rsidP="00D7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24"/>
                <w:szCs w:val="24"/>
              </w:rPr>
              <w:t>В руководстве рассматривается в числе прочего порядок использования продуктов на основе хлора, возможность распыления дезинфицирующих средств и другие бесконтактные методы, рекомендуемая частота очистки окружающих поверхностей в соответствии с зонами распределения пациентов с подозрением на наличие или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твержденным диагнозом COVID-19.</w:t>
            </w:r>
          </w:p>
          <w:p w:rsidR="00D7195B" w:rsidRPr="007C6896" w:rsidRDefault="00D7195B" w:rsidP="00D7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B">
              <w:rPr>
                <w:rFonts w:ascii="Times New Roman" w:hAnsi="Times New Roman" w:cs="Times New Roman"/>
                <w:sz w:val="24"/>
                <w:szCs w:val="24"/>
              </w:rPr>
              <w:t>Руководство предназначено для медицинских работников, специалистов общественного здравоохранения и руководителей органов здравоохранения, которые разрабатывают и внедряют политику и стандартные операционные процедуры по очистке и дезинфекции поверхностей окружающей среды.</w:t>
            </w:r>
          </w:p>
        </w:tc>
      </w:tr>
      <w:tr w:rsidR="00B71A61" w:rsidTr="00D7195B">
        <w:trPr>
          <w:trHeight w:val="2265"/>
        </w:trPr>
        <w:tc>
          <w:tcPr>
            <w:tcW w:w="572" w:type="dxa"/>
            <w:shd w:val="clear" w:color="auto" w:fill="FFFF00"/>
          </w:tcPr>
          <w:p w:rsidR="00B71A61" w:rsidRDefault="00B71A61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B71A61" w:rsidRPr="00B71A61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1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 xml:space="preserve"> от 20.05.2020 "О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использования"</w:t>
            </w:r>
          </w:p>
          <w:p w:rsidR="00B71A61" w:rsidRPr="00714E3D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FFFF00"/>
          </w:tcPr>
          <w:p w:rsidR="00B71A61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1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имеют полное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на свою территорию</w:t>
            </w:r>
            <w:r w:rsidRPr="00B71A6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без масок в период их обязательного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A61" w:rsidRPr="00B71A61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1">
              <w:rPr>
                <w:rFonts w:ascii="Times New Roman" w:hAnsi="Times New Roman" w:cs="Times New Roman"/>
                <w:sz w:val="24"/>
                <w:szCs w:val="24"/>
              </w:rPr>
              <w:t>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нности.</w:t>
            </w:r>
          </w:p>
          <w:p w:rsidR="00B71A61" w:rsidRPr="00B71A61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>Соответственно в том случае, когда введен так называемый "масочный режим",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зоне чрезвычайной ситуации.</w:t>
            </w:r>
            <w:proofErr w:type="gramEnd"/>
          </w:p>
          <w:p w:rsidR="00B71A61" w:rsidRPr="00B71A61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"масочного режима" гражданам-потребителям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      </w:r>
            <w:proofErr w:type="gramEnd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 xml:space="preserve"> не имеют признаков необоснованного уклонения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публичного договора.</w:t>
            </w:r>
          </w:p>
          <w:p w:rsidR="00B71A61" w:rsidRPr="00714E3D" w:rsidRDefault="00B71A61" w:rsidP="00B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>При этом граждане, являющиеся одновременно потребителями - 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</w:t>
            </w:r>
            <w:proofErr w:type="gramEnd"/>
            <w:r w:rsidRPr="00B71A6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20.6.1 КоАП РФ.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Pr="008803A1" w:rsidRDefault="002820F8" w:rsidP="00AF21AA">
      <w:pPr>
        <w:pStyle w:val="1"/>
      </w:pPr>
      <w:bookmarkStart w:id="8" w:name="_Toc40363624"/>
      <w:r w:rsidRPr="008803A1">
        <w:t>РЕГИОНАЛЬНОЕ ЗАКОНОДАТЕЛЬСТВО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9" w:name="_Toc40363626"/>
            <w:r>
              <w:t>СОЦИАЛЬНЫЕ ПРАВА</w:t>
            </w:r>
            <w:bookmarkEnd w:id="9"/>
          </w:p>
        </w:tc>
      </w:tr>
      <w:tr w:rsidR="003D4CCD" w:rsidTr="003D4CCD">
        <w:trPr>
          <w:trHeight w:val="1532"/>
        </w:trPr>
        <w:tc>
          <w:tcPr>
            <w:tcW w:w="728" w:type="dxa"/>
            <w:shd w:val="clear" w:color="auto" w:fill="FFFF00"/>
          </w:tcPr>
          <w:p w:rsidR="003D4CCD" w:rsidRDefault="003D4CCD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3D4CCD" w:rsidRPr="00C20FAD" w:rsidRDefault="003D4CCD" w:rsidP="00D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C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здравоохранения Московской области от 19.05.2020 № 53-Р "Об утверждении Порядка организации оказания медицинской помощи с применением телемедицинских технологий в Московской области"</w:t>
            </w:r>
          </w:p>
        </w:tc>
        <w:tc>
          <w:tcPr>
            <w:tcW w:w="8691" w:type="dxa"/>
            <w:shd w:val="clear" w:color="auto" w:fill="FFFF00"/>
          </w:tcPr>
          <w:p w:rsidR="003D4CCD" w:rsidRPr="006C5256" w:rsidRDefault="003D4CCD" w:rsidP="00D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 медицинская помощь будет оказываться и посредством телемедицины. Распоряжением утвержден Порядок оказания медпомощи с применением телемедицинских технологий,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-консультативных центров, а также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подключенных к федеральной телемедицинской системе.</w:t>
            </w:r>
          </w:p>
        </w:tc>
      </w:tr>
    </w:tbl>
    <w:p w:rsidR="00EE77AA" w:rsidRDefault="00EE77AA" w:rsidP="00EE77AA">
      <w:pPr>
        <w:rPr>
          <w:rFonts w:ascii="Times New Roman" w:hAnsi="Times New Roman" w:cs="Times New Roman"/>
          <w:sz w:val="24"/>
          <w:szCs w:val="24"/>
        </w:rPr>
      </w:pPr>
    </w:p>
    <w:p w:rsidR="00EE77AA" w:rsidRDefault="00EE77AA" w:rsidP="00EE77AA">
      <w:r>
        <w:rPr>
          <w:rFonts w:ascii="Times New Roman" w:hAnsi="Times New Roman" w:cs="Times New Roman"/>
          <w:sz w:val="24"/>
          <w:szCs w:val="24"/>
        </w:rPr>
        <w:t>Обзор подготовлен аппаратом Уполномоченного по правам человека в Московской области</w:t>
      </w:r>
    </w:p>
    <w:p w:rsidR="006411E6" w:rsidRDefault="006411E6"/>
    <w:sectPr w:rsidR="006411E6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3182"/>
    <w:rsid w:val="00005757"/>
    <w:rsid w:val="00012393"/>
    <w:rsid w:val="000136F9"/>
    <w:rsid w:val="00016FA7"/>
    <w:rsid w:val="00017907"/>
    <w:rsid w:val="0002550A"/>
    <w:rsid w:val="000300A1"/>
    <w:rsid w:val="00031032"/>
    <w:rsid w:val="00031BF4"/>
    <w:rsid w:val="000324FF"/>
    <w:rsid w:val="00037CDC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54FA"/>
    <w:rsid w:val="000815CF"/>
    <w:rsid w:val="000825FD"/>
    <w:rsid w:val="00093229"/>
    <w:rsid w:val="000974FC"/>
    <w:rsid w:val="00097DDA"/>
    <w:rsid w:val="000A4591"/>
    <w:rsid w:val="000B4768"/>
    <w:rsid w:val="000B4EE3"/>
    <w:rsid w:val="000B7E74"/>
    <w:rsid w:val="000C0327"/>
    <w:rsid w:val="000C15CA"/>
    <w:rsid w:val="000C1CBD"/>
    <w:rsid w:val="000D03AF"/>
    <w:rsid w:val="000D2131"/>
    <w:rsid w:val="000D269B"/>
    <w:rsid w:val="000E302F"/>
    <w:rsid w:val="00102ABE"/>
    <w:rsid w:val="00104EAF"/>
    <w:rsid w:val="00106EB9"/>
    <w:rsid w:val="00107869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508A"/>
    <w:rsid w:val="00147EC2"/>
    <w:rsid w:val="0015455C"/>
    <w:rsid w:val="0015497C"/>
    <w:rsid w:val="00156B82"/>
    <w:rsid w:val="0016166F"/>
    <w:rsid w:val="00161F66"/>
    <w:rsid w:val="00162030"/>
    <w:rsid w:val="00162E70"/>
    <w:rsid w:val="00165652"/>
    <w:rsid w:val="00165C61"/>
    <w:rsid w:val="001705B8"/>
    <w:rsid w:val="001812AF"/>
    <w:rsid w:val="001815B9"/>
    <w:rsid w:val="00182E22"/>
    <w:rsid w:val="00192745"/>
    <w:rsid w:val="0019435C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CD0"/>
    <w:rsid w:val="001C67E0"/>
    <w:rsid w:val="001D25A6"/>
    <w:rsid w:val="001D2B03"/>
    <w:rsid w:val="001D618E"/>
    <w:rsid w:val="001D6BBA"/>
    <w:rsid w:val="001E1328"/>
    <w:rsid w:val="001E538D"/>
    <w:rsid w:val="001E5F6C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70743"/>
    <w:rsid w:val="00270977"/>
    <w:rsid w:val="00271FD9"/>
    <w:rsid w:val="00272FE9"/>
    <w:rsid w:val="00273B35"/>
    <w:rsid w:val="002769F4"/>
    <w:rsid w:val="00277D2D"/>
    <w:rsid w:val="002820F8"/>
    <w:rsid w:val="00284344"/>
    <w:rsid w:val="00286FE5"/>
    <w:rsid w:val="0029040D"/>
    <w:rsid w:val="00291FE7"/>
    <w:rsid w:val="002975D1"/>
    <w:rsid w:val="002977E0"/>
    <w:rsid w:val="002A248B"/>
    <w:rsid w:val="002A452D"/>
    <w:rsid w:val="002A4599"/>
    <w:rsid w:val="002A4653"/>
    <w:rsid w:val="002B067F"/>
    <w:rsid w:val="002B2F8A"/>
    <w:rsid w:val="002B58ED"/>
    <w:rsid w:val="002B7E9F"/>
    <w:rsid w:val="002C024D"/>
    <w:rsid w:val="002C24BC"/>
    <w:rsid w:val="002C2785"/>
    <w:rsid w:val="002D19B1"/>
    <w:rsid w:val="002D36CF"/>
    <w:rsid w:val="002D68AB"/>
    <w:rsid w:val="002D7105"/>
    <w:rsid w:val="002D780D"/>
    <w:rsid w:val="002E692B"/>
    <w:rsid w:val="002E6B4B"/>
    <w:rsid w:val="002F24E1"/>
    <w:rsid w:val="002F3C27"/>
    <w:rsid w:val="002F3FAF"/>
    <w:rsid w:val="002F4003"/>
    <w:rsid w:val="002F53E3"/>
    <w:rsid w:val="003028BD"/>
    <w:rsid w:val="0030639D"/>
    <w:rsid w:val="003163F4"/>
    <w:rsid w:val="00332559"/>
    <w:rsid w:val="00332CD1"/>
    <w:rsid w:val="003331D5"/>
    <w:rsid w:val="00333463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83583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6A8B"/>
    <w:rsid w:val="003C013C"/>
    <w:rsid w:val="003C05CB"/>
    <w:rsid w:val="003C7CBF"/>
    <w:rsid w:val="003D0569"/>
    <w:rsid w:val="003D1F81"/>
    <w:rsid w:val="003D2975"/>
    <w:rsid w:val="003D3B1C"/>
    <w:rsid w:val="003D4CCD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E35"/>
    <w:rsid w:val="00420E4E"/>
    <w:rsid w:val="00422650"/>
    <w:rsid w:val="00422A2C"/>
    <w:rsid w:val="00440AFB"/>
    <w:rsid w:val="00444BFC"/>
    <w:rsid w:val="004539E6"/>
    <w:rsid w:val="00462DA2"/>
    <w:rsid w:val="00462FA2"/>
    <w:rsid w:val="0046767E"/>
    <w:rsid w:val="00467E0A"/>
    <w:rsid w:val="00474090"/>
    <w:rsid w:val="00477006"/>
    <w:rsid w:val="00483644"/>
    <w:rsid w:val="0048532D"/>
    <w:rsid w:val="0049539E"/>
    <w:rsid w:val="004A12C4"/>
    <w:rsid w:val="004A52B1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3136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EAC"/>
    <w:rsid w:val="005213DA"/>
    <w:rsid w:val="00527EC8"/>
    <w:rsid w:val="005337F3"/>
    <w:rsid w:val="00537611"/>
    <w:rsid w:val="00554511"/>
    <w:rsid w:val="005550C9"/>
    <w:rsid w:val="00567A04"/>
    <w:rsid w:val="005749B2"/>
    <w:rsid w:val="005762BA"/>
    <w:rsid w:val="005775E0"/>
    <w:rsid w:val="005800F0"/>
    <w:rsid w:val="00585315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12D23"/>
    <w:rsid w:val="00613CFD"/>
    <w:rsid w:val="00621DD9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1AF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81860"/>
    <w:rsid w:val="00682660"/>
    <w:rsid w:val="006856EC"/>
    <w:rsid w:val="00687229"/>
    <w:rsid w:val="00692545"/>
    <w:rsid w:val="006943D3"/>
    <w:rsid w:val="00694ACD"/>
    <w:rsid w:val="00695E88"/>
    <w:rsid w:val="00696396"/>
    <w:rsid w:val="0069781C"/>
    <w:rsid w:val="006A11B1"/>
    <w:rsid w:val="006A71B9"/>
    <w:rsid w:val="006B2902"/>
    <w:rsid w:val="006C0E34"/>
    <w:rsid w:val="006C21C9"/>
    <w:rsid w:val="006C2975"/>
    <w:rsid w:val="006C50EB"/>
    <w:rsid w:val="006C5256"/>
    <w:rsid w:val="006D2F4E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4FDA"/>
    <w:rsid w:val="007B0B93"/>
    <w:rsid w:val="007B3609"/>
    <w:rsid w:val="007B49DC"/>
    <w:rsid w:val="007C136F"/>
    <w:rsid w:val="007C6896"/>
    <w:rsid w:val="007C79F6"/>
    <w:rsid w:val="007E3CF4"/>
    <w:rsid w:val="007E6963"/>
    <w:rsid w:val="007F0729"/>
    <w:rsid w:val="007F2290"/>
    <w:rsid w:val="007F3F3A"/>
    <w:rsid w:val="00803668"/>
    <w:rsid w:val="00805065"/>
    <w:rsid w:val="00806374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538E"/>
    <w:rsid w:val="008E5C22"/>
    <w:rsid w:val="008F08CF"/>
    <w:rsid w:val="008F09EF"/>
    <w:rsid w:val="008F0DF7"/>
    <w:rsid w:val="008F0DF8"/>
    <w:rsid w:val="008F6374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5792"/>
    <w:rsid w:val="00946A3C"/>
    <w:rsid w:val="00954F7E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625F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36ED"/>
    <w:rsid w:val="009F622E"/>
    <w:rsid w:val="00A01011"/>
    <w:rsid w:val="00A048D8"/>
    <w:rsid w:val="00A05D39"/>
    <w:rsid w:val="00A063AC"/>
    <w:rsid w:val="00A063B0"/>
    <w:rsid w:val="00A06B10"/>
    <w:rsid w:val="00A116FB"/>
    <w:rsid w:val="00A11E8A"/>
    <w:rsid w:val="00A13B4E"/>
    <w:rsid w:val="00A20516"/>
    <w:rsid w:val="00A20918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7B38"/>
    <w:rsid w:val="00AB0254"/>
    <w:rsid w:val="00AB2A46"/>
    <w:rsid w:val="00AB3906"/>
    <w:rsid w:val="00AB4E42"/>
    <w:rsid w:val="00AC78B9"/>
    <w:rsid w:val="00AD315D"/>
    <w:rsid w:val="00AD753B"/>
    <w:rsid w:val="00AE2C1D"/>
    <w:rsid w:val="00AE3374"/>
    <w:rsid w:val="00AE4DD7"/>
    <w:rsid w:val="00AE5DCA"/>
    <w:rsid w:val="00AF21AA"/>
    <w:rsid w:val="00AF2E98"/>
    <w:rsid w:val="00AF3AFE"/>
    <w:rsid w:val="00AF50AB"/>
    <w:rsid w:val="00AF5EEC"/>
    <w:rsid w:val="00AF7983"/>
    <w:rsid w:val="00B0092C"/>
    <w:rsid w:val="00B0099C"/>
    <w:rsid w:val="00B02113"/>
    <w:rsid w:val="00B04BDB"/>
    <w:rsid w:val="00B05A72"/>
    <w:rsid w:val="00B12733"/>
    <w:rsid w:val="00B22514"/>
    <w:rsid w:val="00B259C9"/>
    <w:rsid w:val="00B407FC"/>
    <w:rsid w:val="00B4664E"/>
    <w:rsid w:val="00B47D9C"/>
    <w:rsid w:val="00B5052D"/>
    <w:rsid w:val="00B5128A"/>
    <w:rsid w:val="00B51322"/>
    <w:rsid w:val="00B52245"/>
    <w:rsid w:val="00B550D8"/>
    <w:rsid w:val="00B55581"/>
    <w:rsid w:val="00B6218C"/>
    <w:rsid w:val="00B624BB"/>
    <w:rsid w:val="00B63342"/>
    <w:rsid w:val="00B71A61"/>
    <w:rsid w:val="00B749BF"/>
    <w:rsid w:val="00B756A7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C200D"/>
    <w:rsid w:val="00BC31D0"/>
    <w:rsid w:val="00BC717F"/>
    <w:rsid w:val="00BD0D4B"/>
    <w:rsid w:val="00BD26FD"/>
    <w:rsid w:val="00BD2918"/>
    <w:rsid w:val="00BD30AC"/>
    <w:rsid w:val="00BD4E92"/>
    <w:rsid w:val="00BD65F6"/>
    <w:rsid w:val="00BE44D7"/>
    <w:rsid w:val="00BE60B0"/>
    <w:rsid w:val="00BF2773"/>
    <w:rsid w:val="00BF37AF"/>
    <w:rsid w:val="00BF6B4A"/>
    <w:rsid w:val="00C11A20"/>
    <w:rsid w:val="00C15D26"/>
    <w:rsid w:val="00C167EE"/>
    <w:rsid w:val="00C20FAD"/>
    <w:rsid w:val="00C21668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7A29"/>
    <w:rsid w:val="00C63B89"/>
    <w:rsid w:val="00C74BF0"/>
    <w:rsid w:val="00C77D4E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4F47"/>
    <w:rsid w:val="00CA7319"/>
    <w:rsid w:val="00CB3660"/>
    <w:rsid w:val="00CB5807"/>
    <w:rsid w:val="00CB68A7"/>
    <w:rsid w:val="00CB7F44"/>
    <w:rsid w:val="00CC0B9F"/>
    <w:rsid w:val="00CC16CF"/>
    <w:rsid w:val="00CC20EF"/>
    <w:rsid w:val="00CC2C37"/>
    <w:rsid w:val="00CC7FC3"/>
    <w:rsid w:val="00CD427D"/>
    <w:rsid w:val="00CD4877"/>
    <w:rsid w:val="00CD5C08"/>
    <w:rsid w:val="00CE2421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32FD"/>
    <w:rsid w:val="00DB67C4"/>
    <w:rsid w:val="00DC444F"/>
    <w:rsid w:val="00DD1552"/>
    <w:rsid w:val="00DD164C"/>
    <w:rsid w:val="00DD41E9"/>
    <w:rsid w:val="00DE3174"/>
    <w:rsid w:val="00DE454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139AF"/>
    <w:rsid w:val="00E13FA4"/>
    <w:rsid w:val="00E15ED0"/>
    <w:rsid w:val="00E1683E"/>
    <w:rsid w:val="00E24ED7"/>
    <w:rsid w:val="00E2575E"/>
    <w:rsid w:val="00E30531"/>
    <w:rsid w:val="00E32C76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604F"/>
    <w:rsid w:val="00E671D1"/>
    <w:rsid w:val="00E70EF1"/>
    <w:rsid w:val="00E7123A"/>
    <w:rsid w:val="00E74728"/>
    <w:rsid w:val="00E754E0"/>
    <w:rsid w:val="00E84BB0"/>
    <w:rsid w:val="00E874FB"/>
    <w:rsid w:val="00E917F2"/>
    <w:rsid w:val="00E94321"/>
    <w:rsid w:val="00EB003D"/>
    <w:rsid w:val="00EB0158"/>
    <w:rsid w:val="00EB2032"/>
    <w:rsid w:val="00EC59C8"/>
    <w:rsid w:val="00ED0F07"/>
    <w:rsid w:val="00ED400E"/>
    <w:rsid w:val="00ED4846"/>
    <w:rsid w:val="00ED6D8D"/>
    <w:rsid w:val="00EE3CEC"/>
    <w:rsid w:val="00EE75B3"/>
    <w:rsid w:val="00EE77AA"/>
    <w:rsid w:val="00EF1DC6"/>
    <w:rsid w:val="00EF441E"/>
    <w:rsid w:val="00F01EF0"/>
    <w:rsid w:val="00F05541"/>
    <w:rsid w:val="00F1170D"/>
    <w:rsid w:val="00F1244E"/>
    <w:rsid w:val="00F16809"/>
    <w:rsid w:val="00F16BCA"/>
    <w:rsid w:val="00F16D0E"/>
    <w:rsid w:val="00F31080"/>
    <w:rsid w:val="00F31836"/>
    <w:rsid w:val="00F34015"/>
    <w:rsid w:val="00F41B89"/>
    <w:rsid w:val="00F43205"/>
    <w:rsid w:val="00F50718"/>
    <w:rsid w:val="00F52D97"/>
    <w:rsid w:val="00F57BA8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45FC"/>
    <w:rsid w:val="00FB504B"/>
    <w:rsid w:val="00FB56FB"/>
    <w:rsid w:val="00FC12EA"/>
    <w:rsid w:val="00FC385A"/>
    <w:rsid w:val="00FE36DF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1C72-5592-4D3D-BE5A-49749D6E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Кришталёва</dc:creator>
  <dc:description>exif_MSED_efccbfaeb27807866c045c6d708749d2702dfb52cec36733939d41351e06f36d</dc:description>
  <cp:lastModifiedBy>Александр</cp:lastModifiedBy>
  <cp:revision>3</cp:revision>
  <dcterms:created xsi:type="dcterms:W3CDTF">2020-05-20T15:58:00Z</dcterms:created>
  <dcterms:modified xsi:type="dcterms:W3CDTF">2020-05-20T16:07:00Z</dcterms:modified>
</cp:coreProperties>
</file>