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E9" w:rsidRDefault="00B043E9" w:rsidP="00B04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2093410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03.06.2020г.</w:t>
      </w:r>
    </w:p>
    <w:p w:rsidR="00B043E9" w:rsidRDefault="00B043E9" w:rsidP="00B043E9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аппаратом Уполномоченного по правам человека в Московской области)</w:t>
      </w:r>
    </w:p>
    <w:p w:rsidR="002820F8" w:rsidRDefault="002820F8" w:rsidP="00AF21AA">
      <w:pPr>
        <w:pStyle w:val="1"/>
      </w:pPr>
      <w:r>
        <w:t>ФЕДЕРАЛЬНОЕ ЗАКОНОДАТЕЛЬСТВО</w:t>
      </w:r>
      <w:bookmarkEnd w:id="0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/>
      </w:tblPr>
      <w:tblGrid>
        <w:gridCol w:w="490"/>
        <w:gridCol w:w="5009"/>
        <w:gridCol w:w="10115"/>
      </w:tblGrid>
      <w:tr w:rsidR="002820F8" w:rsidTr="009F33BB">
        <w:trPr>
          <w:trHeight w:val="292"/>
        </w:trPr>
        <w:tc>
          <w:tcPr>
            <w:tcW w:w="15614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42093411"/>
            <w:r>
              <w:t>ГРАЖДАНСКИЕ ПРАВА</w:t>
            </w:r>
            <w:bookmarkEnd w:id="1"/>
          </w:p>
        </w:tc>
      </w:tr>
      <w:tr w:rsidR="009246ED" w:rsidTr="00B043E9">
        <w:trPr>
          <w:trHeight w:val="983"/>
        </w:trPr>
        <w:tc>
          <w:tcPr>
            <w:tcW w:w="490" w:type="dxa"/>
            <w:shd w:val="clear" w:color="auto" w:fill="FFFF00"/>
          </w:tcPr>
          <w:p w:rsidR="009246ED" w:rsidRDefault="009246ED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246ED" w:rsidRDefault="009246ED" w:rsidP="0095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01 июня 2020 г. 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Как региональные суды рассматривают административные иски против режимов "повышенной готовности с самоизоляцией"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5" w:type="dxa"/>
            <w:shd w:val="clear" w:color="auto" w:fill="FFFF00"/>
          </w:tcPr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С момента введения ограничительных мер в связи с пандемией КОВИД-19 в региональные суды было подано несколько десятков административных исковых заявлений об оспаривании соответствующих актов губернаторов. За почти два месяца всего пять региональных суда вынесли отказы в удовлетворении иска, но опубликовали тексты этих решений лишь Брянский облсуд, Мосгорсуд и Астраханский облсуд. Иркутский областной и городской суд Санкт-Петербурга не спешат с обнародованием своих "отказных" актов (суды должны публиковать свои решения в разумный срок, но не позднее одного месяца после дня их принятия в окончательной форме). Все остальные суды, похоже, предпочли тактику затягивания дела, – решения по существу либо не вынесены, либо иски возвращены заявителям. Определения об отказе в приеме /возвращении /оставлении без движения не публикуются, за исключением одного дела – Липецкий облсуд запросил у истца следующие данные, без которых нельзя по существу рассмотреть иск о законности введения ограничительных мер:</w:t>
            </w:r>
          </w:p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в иске не указаны дата и место рождения истца. Нужно указать;</w:t>
            </w:r>
          </w:p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в иске не указано, имеет ли истец высшее юридическое образование, и намерен ли он участвовать в деле лично. Нужно указать. И приложить копию диплома;</w:t>
            </w:r>
          </w:p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в иске не указано, где и когда официально опубликован оспариваемый акт;</w:t>
            </w:r>
          </w:p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в иске не указано, что спорный акт применялся по отношению к административному истцу. Нужно указать и приложить подтверждающие это обстоятельство документы.</w:t>
            </w:r>
          </w:p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А в Республике Коми суд и вовсе прекратил дело, указав, что спорный акт перестал затрагивать права и свободы истца. Правда, определение об этом пока тоже не опубликовано. Тексты исков также не находятся в свободном доступе, однако если верить прессе, набор аргументов у всех примерно одинаков – истцы указывают:</w:t>
            </w:r>
          </w:p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на недопустимость ограничения прав и свобод региональным актом, а не федеральным законом,</w:t>
            </w:r>
          </w:p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на недопустимость введения ограничений без введения режимов ЧС/ЧП,</w:t>
            </w:r>
          </w:p>
          <w:p w:rsidR="009246ED" w:rsidRPr="00006260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на несоразмерность введенных мер целям сдерживания распространения КОВИД-19,</w:t>
            </w:r>
          </w:p>
          <w:p w:rsidR="009246ED" w:rsidRPr="009510A5" w:rsidRDefault="009246ED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 xml:space="preserve">на нарушение процедур, предусмотренных Конвенцией о защите прав человека и основных свобод ETS № 005, в частности, если страна-участница Конвенции – при наступлении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обстоятельствах, угрожающих жизни нации, – принимает меры по ограничению прав и свобод, перечисленных в Конвенции, она должна проинформировать об этом Генерального секретаря Совета Европы и указать дату прекращения этих мер.</w:t>
            </w:r>
            <w:proofErr w:type="gramEnd"/>
          </w:p>
        </w:tc>
      </w:tr>
      <w:tr w:rsidR="009246ED" w:rsidTr="00034C79">
        <w:trPr>
          <w:trHeight w:val="1131"/>
        </w:trPr>
        <w:tc>
          <w:tcPr>
            <w:tcW w:w="490" w:type="dxa"/>
            <w:shd w:val="clear" w:color="auto" w:fill="FFFF00"/>
          </w:tcPr>
          <w:p w:rsidR="009246ED" w:rsidRDefault="009246ED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246ED" w:rsidRDefault="009246ED" w:rsidP="0095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sz w:val="24"/>
                <w:szCs w:val="24"/>
              </w:rPr>
              <w:t>Приказ МВД России от 24.03.2020 N 180 "О внесении изменений в Приказ МВД России от 30 июля 2019 г. N 514"</w:t>
            </w:r>
          </w:p>
          <w:p w:rsidR="009246ED" w:rsidRDefault="009246ED" w:rsidP="0095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Минюсте 02.06.2020 № 58549</w:t>
            </w:r>
          </w:p>
        </w:tc>
        <w:tc>
          <w:tcPr>
            <w:tcW w:w="10115" w:type="dxa"/>
            <w:shd w:val="clear" w:color="auto" w:fill="FFFF00"/>
          </w:tcPr>
          <w:p w:rsidR="009246ED" w:rsidRDefault="009246ED" w:rsidP="0092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sz w:val="24"/>
                <w:szCs w:val="24"/>
              </w:rPr>
              <w:t>Внесены уточнения в административный регламент МВД России по осуществлению миграционного учета иностранных граждан и лиц без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ED" w:rsidRPr="009246ED" w:rsidRDefault="009246ED" w:rsidP="0092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в новой редакции изложены форма заявления иностранного гражданина или лица без гражданства о регистрации по месту жительства и форма уведомления о прибытии иностранного гражданина или лица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гражданства в место пребывания.</w:t>
            </w:r>
          </w:p>
          <w:p w:rsidR="009246ED" w:rsidRPr="00006260" w:rsidRDefault="009246ED" w:rsidP="0092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sz w:val="24"/>
                <w:szCs w:val="24"/>
              </w:rPr>
              <w:t>Также скорректированы основания снятия иностранного гражданина с регистрации по месту жительства, регистрации по месту жительства, принятия решения о снятии иностранного гражданина с регистрации по месту жительства (во всех случаях включена отсылка на Федеральный закон от 25.07.2002 N 115-ФЗ "О правовом положении иностранных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аждан в Российской Федерации").</w:t>
            </w:r>
          </w:p>
        </w:tc>
      </w:tr>
      <w:tr w:rsidR="006619F0" w:rsidTr="006619F0">
        <w:trPr>
          <w:trHeight w:val="490"/>
        </w:trPr>
        <w:tc>
          <w:tcPr>
            <w:tcW w:w="15614" w:type="dxa"/>
            <w:gridSpan w:val="3"/>
            <w:shd w:val="clear" w:color="auto" w:fill="92D050"/>
          </w:tcPr>
          <w:p w:rsidR="006619F0" w:rsidRPr="00EC6C2D" w:rsidRDefault="006619F0" w:rsidP="006619F0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2" w:name="_Toc42093413"/>
            <w:r>
              <w:t>СОЦИАЛЬНЫЕ ПРАВА</w:t>
            </w:r>
            <w:r w:rsidRPr="00051D80">
              <w:t xml:space="preserve"> </w:t>
            </w:r>
            <w:r>
              <w:t>(</w:t>
            </w:r>
            <w:r w:rsidR="00113D65">
              <w:t>п</w:t>
            </w:r>
            <w:r w:rsidR="00113D65" w:rsidRPr="009178C3">
              <w:t>раво на охрану здоровья и медицинскую помощь</w:t>
            </w:r>
            <w:r>
              <w:t>)</w:t>
            </w:r>
            <w:bookmarkEnd w:id="2"/>
          </w:p>
        </w:tc>
      </w:tr>
      <w:tr w:rsidR="005A48E5" w:rsidTr="005A48E5">
        <w:trPr>
          <w:trHeight w:val="2210"/>
        </w:trPr>
        <w:tc>
          <w:tcPr>
            <w:tcW w:w="490" w:type="dxa"/>
            <w:shd w:val="clear" w:color="auto" w:fill="FFFF00"/>
          </w:tcPr>
          <w:p w:rsidR="005A48E5" w:rsidRDefault="005A48E5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5A48E5" w:rsidRPr="00EC6C2D" w:rsidRDefault="005A48E5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Роспотребнадзора</w:t>
            </w:r>
          </w:p>
        </w:tc>
        <w:tc>
          <w:tcPr>
            <w:tcW w:w="10115" w:type="dxa"/>
            <w:shd w:val="clear" w:color="auto" w:fill="FFFF00"/>
          </w:tcPr>
          <w:p w:rsidR="005A48E5" w:rsidRPr="005A48E5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8E5">
              <w:rPr>
                <w:rFonts w:ascii="Times New Roman" w:hAnsi="Times New Roman" w:cs="Times New Roman"/>
                <w:sz w:val="24"/>
                <w:szCs w:val="24"/>
              </w:rPr>
              <w:t>Роспотребнадзор напоминает, что на фоне сохранения рисков распространения новой коронавирусной инфекции COVID-19 активизировались различного рода мошенники, которые пользуются страхами потребителей.  Например, недобросовестные граждане и юридические лица предлагают на условиях предоплаты «уникальные» товары: особые фильтры, очистители воздуха, лекарства и т. п.  Для обмана потребителей используются разные новые аспекты возникшей ситуации: оплата якобы выписанного штрафа, обязательное проведение платного анализа или особого пропуска на передвижение, услуги по поиску работы.</w:t>
            </w:r>
          </w:p>
          <w:p w:rsidR="005A48E5" w:rsidRPr="00EB13BA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8E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мошенники пытаются проникнуть в квартиру с целью совершения кражи под новыми предлогами: визит врача, социального работника, сотрудника компании, проводящей санитарную обработку помещений и др. Также доверчивым пользователям предлагают перейти по опасным ссылкам и оставить свои персональные данные.  Роспотребнадзор рекомендует использовать официальные источники. Для граждан работает специальный портал, где размещены справочные материалы в сфере защиты прав потребителей.  Бесплатные консультации специалистов можно получить по номеру телефона «горячей линии» для потребителей финансовых услуг </w:t>
            </w:r>
            <w:r w:rsidRPr="005A48E5">
              <w:rPr>
                <w:rFonts w:ascii="Times New Roman" w:hAnsi="Times New Roman" w:cs="Times New Roman"/>
                <w:b/>
                <w:sz w:val="24"/>
                <w:szCs w:val="24"/>
              </w:rPr>
              <w:t>8-800-100-29-26</w:t>
            </w:r>
            <w:r w:rsidRPr="005A48E5">
              <w:rPr>
                <w:rFonts w:ascii="Times New Roman" w:hAnsi="Times New Roman" w:cs="Times New Roman"/>
                <w:sz w:val="24"/>
                <w:szCs w:val="24"/>
              </w:rPr>
              <w:t xml:space="preserve">, также по телефону Единого консультационного центра Роспотребнадзора </w:t>
            </w:r>
            <w:r w:rsidRPr="005A48E5">
              <w:rPr>
                <w:rFonts w:ascii="Times New Roman" w:hAnsi="Times New Roman" w:cs="Times New Roman"/>
                <w:b/>
                <w:sz w:val="24"/>
                <w:szCs w:val="24"/>
              </w:rPr>
              <w:t>8 800 555 49 43.</w:t>
            </w:r>
          </w:p>
        </w:tc>
      </w:tr>
      <w:tr w:rsidR="006D0466" w:rsidTr="006D0466">
        <w:trPr>
          <w:trHeight w:val="1380"/>
        </w:trPr>
        <w:tc>
          <w:tcPr>
            <w:tcW w:w="490" w:type="dxa"/>
            <w:shd w:val="clear" w:color="auto" w:fill="FFFF00"/>
          </w:tcPr>
          <w:p w:rsidR="006D0466" w:rsidRDefault="006D0466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6D0466" w:rsidRPr="00113D65" w:rsidRDefault="006D0466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8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29 мая 2020 г. N 789 "О внесении изменения в Правила организации и проведения инспектирования производителей лекарственных средств на соответствие </w:t>
            </w:r>
            <w:r w:rsidRPr="005A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правил надлежащей производственной практики, а также выдачи заключений о соответствии производителя лекарственных средств указанным требованиям"</w:t>
            </w:r>
          </w:p>
        </w:tc>
        <w:tc>
          <w:tcPr>
            <w:tcW w:w="10115" w:type="dxa"/>
            <w:shd w:val="clear" w:color="auto" w:fill="FFFF00"/>
          </w:tcPr>
          <w:p w:rsidR="006D0466" w:rsidRPr="005A48E5" w:rsidRDefault="006D0466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 скорректировало правила инспектирования производителей лекарств на соответствие требованиям надлежащей производственной практики и выдачи соответствующих заключений.</w:t>
            </w:r>
          </w:p>
          <w:p w:rsidR="006D0466" w:rsidRPr="005A48E5" w:rsidRDefault="006D0466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8E5">
              <w:rPr>
                <w:rFonts w:ascii="Times New Roman" w:hAnsi="Times New Roman" w:cs="Times New Roman"/>
                <w:sz w:val="24"/>
                <w:szCs w:val="24"/>
              </w:rPr>
              <w:t>На 12 месяцев продлено действие заключений, сроки которых истекают в период с 15 марта по 31 декабря 2020 г.</w:t>
            </w:r>
          </w:p>
          <w:p w:rsidR="006D0466" w:rsidRPr="00EB13BA" w:rsidRDefault="006D0466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ЧС или распространения опасного для окружающих заболевания, когда осмотр производственной площадки невозможен, предусмотрено проведение инспектирования площадки по документам, в том числе дистанционно.</w:t>
            </w:r>
          </w:p>
        </w:tc>
      </w:tr>
      <w:tr w:rsidR="006D0466" w:rsidTr="006D0466">
        <w:trPr>
          <w:trHeight w:val="564"/>
        </w:trPr>
        <w:tc>
          <w:tcPr>
            <w:tcW w:w="490" w:type="dxa"/>
            <w:shd w:val="clear" w:color="auto" w:fill="FFFF00"/>
          </w:tcPr>
          <w:p w:rsidR="006D0466" w:rsidRDefault="006D0466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6D0466" w:rsidRPr="005A48E5" w:rsidRDefault="006D0466" w:rsidP="006D0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02 июня 2020 г. - </w:t>
            </w:r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Пациенты с КОВИД-19 должны подписывать добровольное информированное согласие на применение </w:t>
            </w:r>
            <w:proofErr w:type="spell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гидрок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сихлорохина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препаратов</w:t>
            </w:r>
          </w:p>
        </w:tc>
        <w:tc>
          <w:tcPr>
            <w:tcW w:w="10115" w:type="dxa"/>
            <w:shd w:val="clear" w:color="auto" w:fill="FFFF00"/>
          </w:tcPr>
          <w:p w:rsidR="006D0466" w:rsidRPr="006D0466" w:rsidRDefault="006D0466" w:rsidP="006D0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которым назначаются препараты для терапии COVID-19, должны предварительно дать информированное согласие на применение этих лекарственных средств. Кроме того, подчеркнуло ведомство, по результатам мониторинга безопасности лекарственных препаратов </w:t>
            </w:r>
            <w:proofErr w:type="spell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гидроксихлорохина</w:t>
            </w:r>
            <w:proofErr w:type="spellEnd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 (ГХХ) в период пандемии COVID-19 в РФ не выявлено летальных исходов, связанных с нарушением ритма у пациентов на фоне приема ГХХ.</w:t>
            </w:r>
          </w:p>
          <w:p w:rsidR="006D0466" w:rsidRPr="005A48E5" w:rsidRDefault="006D0466" w:rsidP="006D0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И хотя ВОЗ приостановила клинические испытания ГХХ в рамках программы "</w:t>
            </w:r>
            <w:proofErr w:type="spell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Solidarity</w:t>
            </w:r>
            <w:proofErr w:type="spellEnd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" ввиду </w:t>
            </w:r>
            <w:proofErr w:type="spell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кардиотоксичности</w:t>
            </w:r>
            <w:proofErr w:type="spellEnd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препарата, однако, по мнению ведомства, значительный массив данных указывает на обоснованность применения ГХХ при его назначении в определенных группах пациентов с COVID-19 в низких дозах, в меньшей степени ассоциированных с нарушениями сердечного ритма.</w:t>
            </w:r>
          </w:p>
        </w:tc>
      </w:tr>
      <w:tr w:rsidR="005A48E5" w:rsidTr="00034C79">
        <w:trPr>
          <w:trHeight w:val="564"/>
        </w:trPr>
        <w:tc>
          <w:tcPr>
            <w:tcW w:w="490" w:type="dxa"/>
            <w:shd w:val="clear" w:color="auto" w:fill="FFFF00"/>
          </w:tcPr>
          <w:p w:rsidR="005A48E5" w:rsidRDefault="005A48E5" w:rsidP="005A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5A48E5" w:rsidRPr="00EC6C2D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65">
              <w:rPr>
                <w:rFonts w:ascii="Times New Roman" w:hAnsi="Times New Roman" w:cs="Times New Roman"/>
                <w:sz w:val="24"/>
                <w:szCs w:val="24"/>
              </w:rPr>
              <w:t>Поручение Правительства РФ от 02.06.2020 "О решениях по итогам заседания президиума Координационного совета при Правительстве по борьбе с распространением новой коронавирусной инфекции"</w:t>
            </w:r>
          </w:p>
        </w:tc>
        <w:tc>
          <w:tcPr>
            <w:tcW w:w="10115" w:type="dxa"/>
            <w:shd w:val="clear" w:color="auto" w:fill="FFFF00"/>
          </w:tcPr>
          <w:p w:rsidR="005A48E5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A">
              <w:rPr>
                <w:rFonts w:ascii="Times New Roman" w:hAnsi="Times New Roman" w:cs="Times New Roman"/>
                <w:sz w:val="24"/>
                <w:szCs w:val="24"/>
              </w:rPr>
              <w:t>Принятые в период пандемии нормативные правовые акты (включая указы мэра Москвы) поручено проанализировать, в том числе на предмет соблюдения прав и интересов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8E5" w:rsidRPr="00EB13BA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A">
              <w:rPr>
                <w:rFonts w:ascii="Times New Roman" w:hAnsi="Times New Roman" w:cs="Times New Roman"/>
                <w:sz w:val="24"/>
                <w:szCs w:val="24"/>
              </w:rPr>
              <w:t>По итогам очередного заседания президиума Координационного совета при Правительстве РФ по борьбе с распространением новой коронавирусной инфекции приняты, в частности, следующие решения:</w:t>
            </w:r>
          </w:p>
          <w:p w:rsidR="005A48E5" w:rsidRPr="00EB13BA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3BA">
              <w:rPr>
                <w:rFonts w:ascii="Times New Roman" w:hAnsi="Times New Roman" w:cs="Times New Roman"/>
                <w:sz w:val="24"/>
                <w:szCs w:val="24"/>
              </w:rPr>
              <w:t>приступить к изменению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инфекцией, в целях возобновления плановой работы медицинских организаций;</w:t>
            </w:r>
          </w:p>
          <w:p w:rsidR="005A48E5" w:rsidRPr="00EB13BA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3BA">
              <w:rPr>
                <w:rFonts w:ascii="Times New Roman" w:hAnsi="Times New Roman" w:cs="Times New Roman"/>
                <w:sz w:val="24"/>
                <w:szCs w:val="24"/>
              </w:rPr>
              <w:t>обеспечить сохранение резерва специализированного коечного фонда, созданного для лечения больных новой коронавирусной инфекцией в федеральных и региональных медицинских организациях, на случай возобновления роста заболеваемости населения указанной инфекцией и проработать вопрос о необходимости формирования дополнительного коечного фонда на случай возникновения второй волны распространения новой коронавирусной инфекции;</w:t>
            </w:r>
          </w:p>
          <w:p w:rsidR="005A48E5" w:rsidRPr="00EB13BA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3BA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вопрос о распоряжении средствами индивидуальной защиты, приобретенными (произведенными) за счет средств, выделенных из резервного фонда Правительства РФ, и (или) привлеченных кредитных ресурсов, в том числе рассмотрев возможность их приобретения федеральными органами исполнительной власти, органами исполнительной власти субъектов РФ, безвозмездной передачи или передачи на хранение в </w:t>
            </w:r>
            <w:proofErr w:type="spellStart"/>
            <w:r w:rsidRPr="00EB13BA">
              <w:rPr>
                <w:rFonts w:ascii="Times New Roman" w:hAnsi="Times New Roman" w:cs="Times New Roman"/>
                <w:sz w:val="24"/>
                <w:szCs w:val="24"/>
              </w:rPr>
              <w:t>Росрезерв</w:t>
            </w:r>
            <w:proofErr w:type="spellEnd"/>
            <w:r w:rsidRPr="00EB13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8E5" w:rsidRPr="00EB13BA" w:rsidRDefault="005A48E5" w:rsidP="005A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3B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совместно с правительством Москвы и экспертным юридическим сообществом практику применения нормативных правовых актов (в том числе указов мэра Москвы), принятых в целях борьбы с распространением новой коронавирусной инфекции на </w:t>
            </w:r>
            <w:r w:rsidRPr="00EB1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Российской Федерации, обратив особое внимание на положения, в наибольшей степени затрагив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ающие права и интересы граждан.</w:t>
            </w:r>
          </w:p>
        </w:tc>
      </w:tr>
      <w:tr w:rsidR="00113D65" w:rsidTr="006619F0">
        <w:trPr>
          <w:trHeight w:val="735"/>
        </w:trPr>
        <w:tc>
          <w:tcPr>
            <w:tcW w:w="490" w:type="dxa"/>
            <w:shd w:val="clear" w:color="auto" w:fill="FFFF00"/>
          </w:tcPr>
          <w:p w:rsidR="00113D65" w:rsidRDefault="00113D65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113D65" w:rsidRPr="00EC6C2D" w:rsidRDefault="00113D65" w:rsidP="0011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Минздрав РФ, 03 июня 2020 г. - </w:t>
            </w:r>
            <w:r w:rsidRPr="006619F0">
              <w:rPr>
                <w:rFonts w:ascii="Times New Roman" w:hAnsi="Times New Roman" w:cs="Times New Roman"/>
                <w:sz w:val="24"/>
                <w:szCs w:val="24"/>
              </w:rPr>
              <w:t>Минздрав России утвердил 7 версию методических рекомендаций по лечению COVID-19</w:t>
            </w:r>
          </w:p>
        </w:tc>
        <w:tc>
          <w:tcPr>
            <w:tcW w:w="10115" w:type="dxa"/>
            <w:shd w:val="clear" w:color="auto" w:fill="FFFF00"/>
          </w:tcPr>
          <w:p w:rsidR="00113D65" w:rsidRPr="006619F0" w:rsidRDefault="00113D65" w:rsidP="0011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0">
              <w:rPr>
                <w:rFonts w:ascii="Times New Roman" w:hAnsi="Times New Roman" w:cs="Times New Roman"/>
                <w:sz w:val="24"/>
                <w:szCs w:val="24"/>
              </w:rPr>
              <w:t>Минздрав России утвердил 7 версию Временных методических рекомендаций «Профилактика, диагностика и лечение новой коронавирусной инфекции (COVID-19)»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9951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https://cutt.ly/dyXLdIs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619F0">
              <w:rPr>
                <w:rFonts w:ascii="Times New Roman" w:hAnsi="Times New Roman" w:cs="Times New Roman"/>
                <w:sz w:val="24"/>
                <w:szCs w:val="24"/>
              </w:rPr>
              <w:t>. Документ разработан междисциплинарной рабочей группой ведущих экспертов на основе российского и зарубежного клинического опыта. В новой версии методических рекомендаций значительно переработаны и расширены все разделы. Представлены новые схемы лечения с применением новейших лекарственных препаратов.</w:t>
            </w:r>
          </w:p>
          <w:p w:rsidR="00113D65" w:rsidRPr="00EC6C2D" w:rsidRDefault="00113D65" w:rsidP="00113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0">
              <w:rPr>
                <w:rFonts w:ascii="Times New Roman" w:hAnsi="Times New Roman" w:cs="Times New Roman"/>
                <w:sz w:val="24"/>
                <w:szCs w:val="24"/>
              </w:rPr>
              <w:t>Рекомендации опубликованы на официальном сайте Минздрава России и направлены в регионы для использования в клинической практике.</w:t>
            </w:r>
          </w:p>
        </w:tc>
      </w:tr>
      <w:tr w:rsidR="007E7223" w:rsidTr="007E7223">
        <w:trPr>
          <w:trHeight w:val="923"/>
        </w:trPr>
        <w:tc>
          <w:tcPr>
            <w:tcW w:w="15614" w:type="dxa"/>
            <w:gridSpan w:val="3"/>
            <w:shd w:val="clear" w:color="auto" w:fill="92D050"/>
          </w:tcPr>
          <w:p w:rsidR="007E7223" w:rsidRPr="00E81C29" w:rsidRDefault="007E7223" w:rsidP="00113D65">
            <w:pPr>
              <w:pStyle w:val="1"/>
              <w:outlineLvl w:val="0"/>
            </w:pPr>
            <w:bookmarkStart w:id="3" w:name="_Toc42093415"/>
            <w:r w:rsidRPr="007E7223">
              <w:t>СОЦИАЛЬНЫЕ ПРАВА (</w:t>
            </w:r>
            <w:r w:rsidR="00113D65">
              <w:t>иные</w:t>
            </w:r>
            <w:r w:rsidRPr="007E7223">
              <w:t>)</w:t>
            </w:r>
            <w:bookmarkEnd w:id="3"/>
          </w:p>
        </w:tc>
      </w:tr>
      <w:tr w:rsidR="007E7223" w:rsidTr="00113D65">
        <w:trPr>
          <w:trHeight w:val="922"/>
        </w:trPr>
        <w:tc>
          <w:tcPr>
            <w:tcW w:w="490" w:type="dxa"/>
            <w:shd w:val="clear" w:color="auto" w:fill="FFFF00"/>
          </w:tcPr>
          <w:p w:rsidR="007E7223" w:rsidRDefault="007E7223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&lt;Письмо&gt; Минтруда России от 28.05.2020 N 18-4/10/П-4994</w:t>
            </w:r>
          </w:p>
          <w:p w:rsid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&lt;О Методическом инструментарии по осуществлению наставничества на государственной гражданской службе Российской Федерации (версия 2.0)&gt;</w:t>
            </w:r>
          </w:p>
        </w:tc>
        <w:tc>
          <w:tcPr>
            <w:tcW w:w="10115" w:type="dxa"/>
            <w:shd w:val="clear" w:color="auto" w:fill="FFFF00"/>
          </w:tcPr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Минтрудом России представлен Методический инструментарий по осуществлению наставничества на государственной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жданской службе РФ (версия 2.0)</w:t>
            </w:r>
          </w:p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инструментарий является обновленной с учетом изменений законодательства о гражданской службе версией действовавшего с 2013 года методического инструментария по применению наставничества на государственной гражданской службе и содержит предлагаемые к использованию в деятельности кадровой службы госоргана подходы к организации и технологии осуществления наставничества. Особое внимание уделено вопросам подбора наставников, их мотивации к выполнению задач наставничества, установлению взаимосвязи с технологиями оценки профессиональной служебной </w:t>
            </w:r>
            <w:proofErr w:type="gramStart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 как наставника, так и гражданского служащего, в отношении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наставничество.</w:t>
            </w:r>
          </w:p>
          <w:p w:rsidR="007E7223" w:rsidRPr="00E81C29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Предусмотрена организация работы по внедрению в III квартале 2020 г. института наставничества в деятельность государственных органов с учетом текущей ситуации, связанной с распространением новой коронавирусной инфекции.</w:t>
            </w:r>
          </w:p>
        </w:tc>
      </w:tr>
      <w:tr w:rsidR="007E7223" w:rsidTr="007E7223">
        <w:trPr>
          <w:trHeight w:val="1840"/>
        </w:trPr>
        <w:tc>
          <w:tcPr>
            <w:tcW w:w="490" w:type="dxa"/>
            <w:shd w:val="clear" w:color="auto" w:fill="FFFF00"/>
          </w:tcPr>
          <w:p w:rsidR="007E7223" w:rsidRDefault="007E7223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Минтруда России, </w:t>
            </w: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Министра труда и социальной защиты Антона </w:t>
            </w:r>
            <w:proofErr w:type="spellStart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Котякова</w:t>
            </w:r>
            <w:proofErr w:type="spellEnd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 на Правительственном часе в Совете Федерации</w:t>
            </w:r>
          </w:p>
          <w:p w:rsid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https://rosmintrud.ru/social/social/1221</w:t>
            </w:r>
          </w:p>
        </w:tc>
        <w:tc>
          <w:tcPr>
            <w:tcW w:w="10115" w:type="dxa"/>
            <w:shd w:val="clear" w:color="auto" w:fill="FFFF00"/>
          </w:tcPr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Безработным гражданам, которые потеряли работу после 1 марта и воспитывают детей до 18 лет, пособие на сегодняшний день назначается в максимальном размере, а доплата за каждого несовершеннолетнего ребенка составляет 3 тыс. рублей в течение трех месяцев. </w:t>
            </w:r>
            <w:proofErr w:type="gramStart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В правительство уже внесен проект постановления, который предусматривает распространение этой выплаты на всех безработных граждан – не только на тех, которые потеряли работу после 1 марта, а на всех граждан, которые на сегодняшний день будут признаны безработными и встанут на учет в центрах занятости.</w:t>
            </w:r>
            <w:proofErr w:type="gramEnd"/>
          </w:p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предпринимателей, вынужденных закрыть свое дело, на три месяца устанавливается максимальный размер пособия по безработице – 12 130 рублей.</w:t>
            </w:r>
          </w:p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</w:t>
            </w:r>
          </w:p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Период выплат пособия автоматически продлён на 3 месяца для граждан, которые ранее были признаны безработными, но не смогли найти работу.</w:t>
            </w:r>
          </w:p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подготовлен проект федерального закона о </w:t>
            </w:r>
            <w:proofErr w:type="spellStart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пенсий для граждан, имеющих ограничения, а именно назначении пенсий по инвалидности в </w:t>
            </w:r>
            <w:proofErr w:type="spellStart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беззаявительном</w:t>
            </w:r>
            <w:proofErr w:type="spellEnd"/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 порядке. Нам будет достаточно документов, которые будут находиться в органах МСЭ и в органах системы здравоохранения.</w:t>
            </w:r>
          </w:p>
          <w:p w:rsidR="007E7223" w:rsidRPr="007E7223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  <w:p w:rsidR="007E7223" w:rsidRPr="00E81C29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 вышли с инициативой о введении доплаты за каждую смену находящимся на карантине социальным работникам. Соглашения уже на сегодняшний день подписаны, денежные средства начали выплачиваться.</w:t>
            </w:r>
          </w:p>
        </w:tc>
      </w:tr>
      <w:tr w:rsidR="00662D8E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4" w:name="_Toc42093417"/>
            <w:r>
              <w:lastRenderedPageBreak/>
              <w:t>ЭКОНОМИЧЕСКИЕ ПРАВА</w:t>
            </w:r>
            <w:bookmarkEnd w:id="4"/>
          </w:p>
        </w:tc>
      </w:tr>
      <w:tr w:rsidR="006D0466" w:rsidTr="006D0466">
        <w:trPr>
          <w:trHeight w:val="2205"/>
        </w:trPr>
        <w:tc>
          <w:tcPr>
            <w:tcW w:w="490" w:type="dxa"/>
            <w:shd w:val="clear" w:color="auto" w:fill="FFFF00"/>
          </w:tcPr>
          <w:p w:rsidR="006D0466" w:rsidRDefault="006D046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6D0466" w:rsidRDefault="006D0466" w:rsidP="00F2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sz w:val="24"/>
                <w:szCs w:val="24"/>
              </w:rPr>
              <w:t xml:space="preserve">"Встреча с Председателем Правительства Михаилом </w:t>
            </w:r>
            <w:proofErr w:type="spellStart"/>
            <w:r w:rsidRPr="009246ED">
              <w:rPr>
                <w:rFonts w:ascii="Times New Roman" w:hAnsi="Times New Roman" w:cs="Times New Roman"/>
                <w:sz w:val="24"/>
                <w:szCs w:val="24"/>
              </w:rPr>
              <w:t>Мишустиным</w:t>
            </w:r>
            <w:proofErr w:type="spellEnd"/>
            <w:r w:rsidRPr="009246ED">
              <w:rPr>
                <w:rFonts w:ascii="Times New Roman" w:hAnsi="Times New Roman" w:cs="Times New Roman"/>
                <w:sz w:val="24"/>
                <w:szCs w:val="24"/>
              </w:rPr>
              <w:t>" (информация с официального сайта Президента РФ от 02.06.2020)</w:t>
            </w:r>
          </w:p>
        </w:tc>
        <w:tc>
          <w:tcPr>
            <w:tcW w:w="10115" w:type="dxa"/>
            <w:shd w:val="clear" w:color="auto" w:fill="FFFF00"/>
          </w:tcPr>
          <w:p w:rsidR="006D0466" w:rsidRDefault="006D0466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C">
              <w:rPr>
                <w:rFonts w:ascii="Times New Roman" w:hAnsi="Times New Roman" w:cs="Times New Roman"/>
                <w:sz w:val="24"/>
                <w:szCs w:val="24"/>
              </w:rPr>
              <w:t>Преодолеть спад экономики, вызванный коронавирусом, и выйти на устойчивые темпы роста ВВП - Правительством РФ обозначены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цели общенационального плана.</w:t>
            </w:r>
          </w:p>
          <w:p w:rsidR="006D0466" w:rsidRPr="003E2C5C" w:rsidRDefault="006D0466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C">
              <w:rPr>
                <w:rFonts w:ascii="Times New Roman" w:hAnsi="Times New Roman" w:cs="Times New Roman"/>
                <w:sz w:val="24"/>
                <w:szCs w:val="24"/>
              </w:rPr>
              <w:t>Общенациональный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предполагает три этапа.</w:t>
            </w:r>
          </w:p>
          <w:p w:rsidR="006D0466" w:rsidRPr="003E2C5C" w:rsidRDefault="006D0466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C">
              <w:rPr>
                <w:rFonts w:ascii="Times New Roman" w:hAnsi="Times New Roman" w:cs="Times New Roman"/>
                <w:sz w:val="24"/>
                <w:szCs w:val="24"/>
              </w:rPr>
              <w:t>Задача первого этапа - до конца третьего квартала текущего года стабилизировать ситуацию, не допустить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ьнейшего падения доходов людей.</w:t>
            </w:r>
          </w:p>
          <w:p w:rsidR="006D0466" w:rsidRPr="003E2C5C" w:rsidRDefault="006D0466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C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продлится до второго квартала 2021 года, и в этот период должен быть завершен процесс восстановления экономики, снижен уровень безработицы, обеспечен рост доходов граждан до уровня, который </w:t>
            </w:r>
            <w:proofErr w:type="gramStart"/>
            <w:r w:rsidRPr="003E2C5C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3E2C5C">
              <w:rPr>
                <w:rFonts w:ascii="Times New Roman" w:hAnsi="Times New Roman" w:cs="Times New Roman"/>
                <w:sz w:val="24"/>
                <w:szCs w:val="24"/>
              </w:rPr>
              <w:t xml:space="preserve"> сопо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ставим с уровнем прошлого года.</w:t>
            </w:r>
          </w:p>
          <w:p w:rsidR="006D0466" w:rsidRPr="003E2C5C" w:rsidRDefault="006D0466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C">
              <w:rPr>
                <w:rFonts w:ascii="Times New Roman" w:hAnsi="Times New Roman" w:cs="Times New Roman"/>
                <w:sz w:val="24"/>
                <w:szCs w:val="24"/>
              </w:rPr>
              <w:t xml:space="preserve">На третьем, завершающем, этапе - это третий-четвертый кварталы 2021 года - предполагается выйти на траекторию устойчивого долгосрочного экономического роста, при этом сократится уровень бедности и увеличится количество граждан, чьи доходы превысят уровень прожиточного минимума. Численность </w:t>
            </w:r>
            <w:proofErr w:type="gramStart"/>
            <w:r w:rsidRPr="003E2C5C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E2C5C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достигнет докризисного уровня.</w:t>
            </w:r>
          </w:p>
          <w:p w:rsidR="006D0466" w:rsidRPr="003E2C5C" w:rsidRDefault="006D0466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C">
              <w:rPr>
                <w:rFonts w:ascii="Times New Roman" w:hAnsi="Times New Roman" w:cs="Times New Roman"/>
                <w:sz w:val="24"/>
                <w:szCs w:val="24"/>
              </w:rPr>
              <w:t>Общенациональный план содержит около 500 конкретных мероприятий, стоимость его реализации примерно за два года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около пяти триллионов рублей.</w:t>
            </w:r>
          </w:p>
          <w:p w:rsidR="006D0466" w:rsidRPr="008E7197" w:rsidRDefault="006D0466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C">
              <w:rPr>
                <w:rFonts w:ascii="Times New Roman" w:hAnsi="Times New Roman" w:cs="Times New Roman"/>
                <w:sz w:val="24"/>
                <w:szCs w:val="24"/>
              </w:rPr>
              <w:t>Окончательные параметры плана действий будут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делены во второй половине июня.</w:t>
            </w:r>
          </w:p>
        </w:tc>
      </w:tr>
      <w:tr w:rsidR="00996CED" w:rsidTr="00996CED">
        <w:trPr>
          <w:trHeight w:val="564"/>
        </w:trPr>
        <w:tc>
          <w:tcPr>
            <w:tcW w:w="490" w:type="dxa"/>
            <w:shd w:val="clear" w:color="auto" w:fill="FFFF00"/>
          </w:tcPr>
          <w:p w:rsidR="00996CED" w:rsidRDefault="00996CED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96CED" w:rsidRPr="009246ED" w:rsidRDefault="00996CED" w:rsidP="00F2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02 июня 2020 г. - </w:t>
            </w:r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Налоговая служба пояснила, какими документами проверяющие могут подтвердить факт использования земель для ИЖС в предпринимательстве</w:t>
            </w:r>
          </w:p>
        </w:tc>
        <w:tc>
          <w:tcPr>
            <w:tcW w:w="10115" w:type="dxa"/>
            <w:shd w:val="clear" w:color="auto" w:fill="FFFF00"/>
          </w:tcPr>
          <w:p w:rsidR="00996CED" w:rsidRPr="003E2C5C" w:rsidRDefault="00996CED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Налоговым законодательством установлено, что ставки по земельному налогу устанавливаются нормативными правовыми актами представительных органов муниципальных </w:t>
            </w:r>
            <w:proofErr w:type="spell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образоваий</w:t>
            </w:r>
            <w:proofErr w:type="spellEnd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 (законами городов федерального значения) и не могут превышать 0,3% в отношении отдельных категорий земельных участков. К ним, в частности, относятся земельные участки, приобретенные (предоставленные) для жилищного строительства. При этом есть и исключение - земельные участки, приобретенные (предоставленные) для индивидуального жилищного </w:t>
            </w:r>
            <w:r w:rsidRPr="006D0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строительства, используемые в предпринимательской деятельности.  В отношении же прочих, не указанных в </w:t>
            </w:r>
            <w:proofErr w:type="spell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proofErr w:type="spellEnd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. 1 п. 1 ст. 394 НК РФ земельных участков, предельная налоговая ставка по налогу установлена в размере 1,5% (п. 2 ст. 394 НК РФ). При этом, по мнению </w:t>
            </w:r>
            <w:proofErr w:type="gram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proofErr w:type="gramEnd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 службы, налоговая ставка, не превышающая 0,3% может быть установлена и в отношении земельных участков, приобретенных (предоставленных) для индивидуального жилищного строительства, но не используемых (как в отношении всей площади земельного участка, так и его части) в предпринимательской деятельности (письмо ФНС России от 19 мая 2020 г. № БС-4-21/8223@). Налоговое законодательство не содержит исчерпывающий перечень документо</w:t>
            </w:r>
            <w:proofErr w:type="gram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сведений для определения налоговым органом факта использования земельного участка в предпринимательской деятельности. </w:t>
            </w:r>
            <w:proofErr w:type="gramStart"/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Как поясняет налоговая служба, к ним, в частности, могут относиться сведения, представленные органами, осуществляющими государственный земельный надзор, муниципальный земельный контроль, материалы проверок правоохранительных органов, полученные в соответствии с законодательством Российской Федерации, сведения, содержащиеся в налоговой или бухгалтерской (финансовой) отчетности, данные, содержащиеся в реестрах, ведение которых осуществляют налоговые органы, сведения, представленные в порядке межведомственного информационного взаимодействия, и прочее.</w:t>
            </w:r>
            <w:proofErr w:type="gramEnd"/>
          </w:p>
        </w:tc>
      </w:tr>
      <w:tr w:rsidR="00996CED" w:rsidTr="00B043E9">
        <w:trPr>
          <w:trHeight w:val="423"/>
        </w:trPr>
        <w:tc>
          <w:tcPr>
            <w:tcW w:w="490" w:type="dxa"/>
            <w:shd w:val="clear" w:color="auto" w:fill="FFFF00"/>
          </w:tcPr>
          <w:p w:rsidR="00996CED" w:rsidRDefault="00996CED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96CED" w:rsidRDefault="00996CED" w:rsidP="00F2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ФНС России, 02 июня 2020 г.- </w:t>
            </w:r>
            <w:r w:rsidRPr="00996CED">
              <w:rPr>
                <w:rFonts w:ascii="Times New Roman" w:hAnsi="Times New Roman" w:cs="Times New Roman"/>
                <w:sz w:val="24"/>
                <w:szCs w:val="24"/>
              </w:rPr>
              <w:t>ФНС России расширила возможности цифровой платформы для выдачи льготных кредитов бизнесу</w:t>
            </w:r>
          </w:p>
        </w:tc>
        <w:tc>
          <w:tcPr>
            <w:tcW w:w="10115" w:type="dxa"/>
            <w:shd w:val="clear" w:color="auto" w:fill="FFFF00"/>
          </w:tcPr>
          <w:p w:rsidR="00996CED" w:rsidRPr="006D0466" w:rsidRDefault="00996CED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ED">
              <w:rPr>
                <w:rFonts w:ascii="Times New Roman" w:hAnsi="Times New Roman" w:cs="Times New Roman"/>
                <w:sz w:val="24"/>
                <w:szCs w:val="24"/>
              </w:rPr>
              <w:t>С 1 июня расширены возможности цифровой платформы для выдачи льготных кредитов бизнесу. Теперь цифровая платформа позволяет обеспечивать контроль рисков снижения численности работников заемщика, а также контроль уровня заработной платы и наличия процедуры банкротства на период наблюдения по кредитному договору (соглашению). По условиям предоставления кредита, тем предприятиям, которые в том числе сохранят не менее 90% сотрудников, вся сумма кредита вместе с процентами будет полностью погашена за счет государства. Если показатели занятости работников чуть хуже – в штате по сравнению с мартом 2020 года трудится не менее 80% сотрудников, то предприниматель должен будет вернуть только половину ссуды и процентов по ней. Для получения кредита на вышеуказанных льготных условиях организациям, в том числе и социально ориентированным НКО, и предпринимателям нужно обратиться в банки, которые подключены к цифровой платформе ФНС России. Как разъясняет налоговая служба, такая платформа работает на технологии распределенного реестра (</w:t>
            </w:r>
            <w:proofErr w:type="spellStart"/>
            <w:r w:rsidRPr="00996CED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 w:rsidRPr="00996CED">
              <w:rPr>
                <w:rFonts w:ascii="Times New Roman" w:hAnsi="Times New Roman" w:cs="Times New Roman"/>
                <w:sz w:val="24"/>
                <w:szCs w:val="24"/>
              </w:rPr>
              <w:t xml:space="preserve">). Она позволит банку проверить заявление автоматически без дополнительных подтверждающих документов. Так, кредитной организации будут предоставлены данные о статусе заемщика из </w:t>
            </w:r>
            <w:proofErr w:type="spellStart"/>
            <w:r w:rsidRPr="00996CED">
              <w:rPr>
                <w:rFonts w:ascii="Times New Roman" w:hAnsi="Times New Roman" w:cs="Times New Roman"/>
                <w:sz w:val="24"/>
                <w:szCs w:val="24"/>
              </w:rPr>
              <w:t>госреестров</w:t>
            </w:r>
            <w:proofErr w:type="spellEnd"/>
            <w:r w:rsidRPr="00996CED">
              <w:rPr>
                <w:rFonts w:ascii="Times New Roman" w:hAnsi="Times New Roman" w:cs="Times New Roman"/>
                <w:sz w:val="24"/>
                <w:szCs w:val="24"/>
              </w:rPr>
              <w:t xml:space="preserve"> (ЕГРЮЛ, ЕГРИП, РМСП), о том, к какой отрасли относится компания-заемщик, численность ее сотрудников и статус в едином реестре МСП (</w:t>
            </w:r>
            <w:proofErr w:type="spellStart"/>
            <w:r w:rsidRPr="00996CED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996CED">
              <w:rPr>
                <w:rFonts w:ascii="Times New Roman" w:hAnsi="Times New Roman" w:cs="Times New Roman"/>
                <w:sz w:val="24"/>
                <w:szCs w:val="24"/>
              </w:rPr>
              <w:t xml:space="preserve">, малое или среднее предприятие). Технология распределенного реестра обеспечивает защиту данных от любых несанкционированных изменений. Информация о вынесенном банком решении (положительном или отрицательном) становится доступна всем участникам цифровой платформы ФНС России. Помимо этого, </w:t>
            </w:r>
            <w:r w:rsidRPr="0099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поможет избежать дублирования заявлений от одного и того же заемщика.</w:t>
            </w:r>
          </w:p>
        </w:tc>
      </w:tr>
      <w:tr w:rsidR="00996CED" w:rsidTr="006D0466">
        <w:trPr>
          <w:trHeight w:val="2115"/>
        </w:trPr>
        <w:tc>
          <w:tcPr>
            <w:tcW w:w="490" w:type="dxa"/>
            <w:shd w:val="clear" w:color="auto" w:fill="FFFF00"/>
          </w:tcPr>
          <w:p w:rsidR="00996CED" w:rsidRDefault="00996CED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96CED" w:rsidRDefault="00996CED" w:rsidP="0099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ФНС России, 03 июня 2020 г.- </w:t>
            </w:r>
            <w:r w:rsidRPr="00996CED">
              <w:rPr>
                <w:rFonts w:ascii="Times New Roman" w:hAnsi="Times New Roman" w:cs="Times New Roman"/>
                <w:sz w:val="24"/>
                <w:szCs w:val="24"/>
              </w:rPr>
              <w:t>Разъяснен порядок возврата средств за театральные билеты, купленные у посредников</w:t>
            </w:r>
          </w:p>
        </w:tc>
        <w:tc>
          <w:tcPr>
            <w:tcW w:w="10115" w:type="dxa"/>
            <w:shd w:val="clear" w:color="auto" w:fill="FFFF00"/>
          </w:tcPr>
          <w:p w:rsidR="00996CED" w:rsidRPr="006D0466" w:rsidRDefault="00996CED" w:rsidP="003E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ED">
              <w:rPr>
                <w:rFonts w:ascii="Times New Roman" w:hAnsi="Times New Roman" w:cs="Times New Roman"/>
                <w:sz w:val="24"/>
                <w:szCs w:val="24"/>
              </w:rPr>
              <w:t>В случае отмены, замены или переноса культурного мероприятия театр или музей возмещают полную стоимость билета посетителю по его инициативе. При этом правила продажи и возврата билетов устанавливаются театром.  Эти правила должны быть и у агентов. Уполномоченное лицо, у которого был приобретен билет, также обязано произвести возврат, если договор между ним и культурной организацией возлагает на него такую обязанность.  Если покупатель обратится за возвратом билета в театр, он вернет ему только стоимость своей услуги без учета комиссии агента. Если в кассовом чеке при продаже билета выделена комиссия агента, то за возвратом этой комиссии следует обратиться к нему.</w:t>
            </w:r>
          </w:p>
        </w:tc>
      </w:tr>
      <w:tr w:rsidR="002820F8" w:rsidTr="009F33B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5" w:name="_Toc42093418"/>
            <w:r>
              <w:t>ЧС И РЕЖИМ ПОВЫШЕННОЙ ГОТОВНОСТИ</w:t>
            </w:r>
            <w:bookmarkEnd w:id="5"/>
          </w:p>
        </w:tc>
      </w:tr>
      <w:tr w:rsidR="00006260" w:rsidTr="00091367">
        <w:trPr>
          <w:trHeight w:val="1380"/>
        </w:trPr>
        <w:tc>
          <w:tcPr>
            <w:tcW w:w="490" w:type="dxa"/>
            <w:shd w:val="clear" w:color="auto" w:fill="FFFF00"/>
          </w:tcPr>
          <w:p w:rsidR="00006260" w:rsidRDefault="00006260" w:rsidP="002F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006260" w:rsidRPr="00006260" w:rsidRDefault="00006260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Методические ре</w:t>
            </w:r>
            <w:r w:rsidR="00091367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комендации MP 3.1/2.3.6.0190-20 </w:t>
            </w: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"Рекомендации по организации работы предприятий общественного питания в условиях сохранения рисков распространения COVID-19"</w:t>
            </w:r>
          </w:p>
          <w:p w:rsidR="00006260" w:rsidRPr="009873ED" w:rsidRDefault="00006260" w:rsidP="0000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(утв. Федеральной службой по надзору в сфере защиты прав потребителей и благополучия человека 30 мая 2020 г.)</w:t>
            </w:r>
          </w:p>
        </w:tc>
        <w:tc>
          <w:tcPr>
            <w:tcW w:w="10115" w:type="dxa"/>
            <w:shd w:val="clear" w:color="auto" w:fill="FFFF00"/>
          </w:tcPr>
          <w:p w:rsidR="00006260" w:rsidRPr="009873ED" w:rsidRDefault="00006260" w:rsidP="002F5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ежедневного перед началом рабочей смены "входного фильтра" с проведением контроля температуры тела работника.  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пакета. Размещение столов в предприятиях общественного питания с соблюдением </w:t>
            </w:r>
            <w:proofErr w:type="spellStart"/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006260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1,5 м.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      </w:r>
            <w:proofErr w:type="spellStart"/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вирулицидного</w:t>
            </w:r>
            <w:proofErr w:type="spellEnd"/>
            <w:r w:rsidRPr="0000626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 Обеспечение не </w:t>
            </w:r>
            <w:proofErr w:type="gramStart"/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менее пятидневного</w:t>
            </w:r>
            <w:proofErr w:type="gramEnd"/>
            <w:r w:rsidRPr="00006260">
              <w:rPr>
                <w:rFonts w:ascii="Times New Roman" w:hAnsi="Times New Roman" w:cs="Times New Roman"/>
                <w:sz w:val="24"/>
                <w:szCs w:val="24"/>
              </w:rPr>
              <w:t xml:space="preserve"> запаса моющих и дезинфицирующих средств, средств индивидуальной защиты органов дыхания (маски, респираторы), перчаток. Применение в закрытых помещениях с постоянным нахождением работников устрой</w:t>
            </w:r>
            <w:proofErr w:type="gramStart"/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006260">
              <w:rPr>
                <w:rFonts w:ascii="Times New Roman" w:hAnsi="Times New Roman" w:cs="Times New Roman"/>
                <w:sz w:val="24"/>
                <w:szCs w:val="24"/>
              </w:rPr>
              <w:t>я обеззараживания воздуха.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 При применении одноразовой посуды производится сбор использованной одноразовой посуды в одноразовые плотно закрываемые пластиковые пакеты.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Default="002820F8" w:rsidP="00AF21AA">
      <w:pPr>
        <w:pStyle w:val="1"/>
      </w:pPr>
      <w:bookmarkStart w:id="6" w:name="_Toc42093419"/>
      <w:r w:rsidRPr="008803A1">
        <w:lastRenderedPageBreak/>
        <w:t>РЕГИОНАЛЬНОЕ ЗАКОНОДАТЕЛЬСТВО</w:t>
      </w:r>
      <w:bookmarkEnd w:id="6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7" w:name="_Toc42093420"/>
            <w:r>
              <w:t>СОЦИАЛЬНЫЕ ПРАВА</w:t>
            </w:r>
            <w:bookmarkEnd w:id="7"/>
          </w:p>
        </w:tc>
      </w:tr>
      <w:tr w:rsidR="009A6496" w:rsidTr="009A6496">
        <w:trPr>
          <w:trHeight w:val="1103"/>
        </w:trPr>
        <w:tc>
          <w:tcPr>
            <w:tcW w:w="728" w:type="dxa"/>
            <w:shd w:val="clear" w:color="auto" w:fill="FFFF00"/>
          </w:tcPr>
          <w:p w:rsidR="009A6496" w:rsidRDefault="009A6496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9A6496" w:rsidRPr="008E7197" w:rsidRDefault="009A6496" w:rsidP="009A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6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от 26.05.2020 N 104/2020-ОЗ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496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Московской области "О комиссиях по делам несовершеннолетних и защите их прав в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9A6496" w:rsidRDefault="009A6496" w:rsidP="009A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6">
              <w:rPr>
                <w:rFonts w:ascii="Times New Roman" w:hAnsi="Times New Roman" w:cs="Times New Roman"/>
                <w:sz w:val="24"/>
                <w:szCs w:val="24"/>
              </w:rPr>
              <w:t>Уточнено, что Законом установлен порядок создания комиссий по делам несовершеннолетних и защите их прав в Московской области и осуществления ими деятельности и наделяются органы местного самоуправления муниципальных образований Московской области государственным полномочием Московской области по созданию комиссий по делам несовершеннолетних и защите их прав муниципальных образований Московской области. В Законе внесены поправки, связанные с упразднением муниципальных районов.</w:t>
            </w:r>
          </w:p>
        </w:tc>
      </w:tr>
      <w:tr w:rsidR="009A6496" w:rsidTr="009A6496">
        <w:trPr>
          <w:trHeight w:val="1102"/>
        </w:trPr>
        <w:tc>
          <w:tcPr>
            <w:tcW w:w="728" w:type="dxa"/>
            <w:shd w:val="clear" w:color="auto" w:fill="FFFF00"/>
          </w:tcPr>
          <w:p w:rsidR="009A6496" w:rsidRDefault="009A6496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9A6496" w:rsidRPr="009A6496" w:rsidRDefault="009A6496" w:rsidP="009A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6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от 26.05.2020 N 105/2020-ОЗ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496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Московской области "О материальной поддержке детей-сирот и детей, оставшихся без попечения родителей, переданных на усыновление в семьи граждан Российской Федерации"</w:t>
            </w:r>
          </w:p>
        </w:tc>
        <w:tc>
          <w:tcPr>
            <w:tcW w:w="8691" w:type="dxa"/>
            <w:shd w:val="clear" w:color="auto" w:fill="FFFF00"/>
          </w:tcPr>
          <w:p w:rsidR="009A6496" w:rsidRPr="00B043E9" w:rsidRDefault="009A6496" w:rsidP="009A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6">
              <w:rPr>
                <w:rFonts w:ascii="Times New Roman" w:hAnsi="Times New Roman" w:cs="Times New Roman"/>
                <w:sz w:val="24"/>
                <w:szCs w:val="24"/>
              </w:rPr>
              <w:t>Уточнены перечни документов, представляемых вместе с заявлением на единовременное и ежемесячное денежное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домовой книги заменена на «документ, подтверждающий</w:t>
            </w:r>
            <w:r w:rsidRPr="009A649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регистрацию ребенка по месту жительства усыновителей (усыновителя)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1367" w:rsidTr="00091367">
        <w:trPr>
          <w:trHeight w:val="1170"/>
        </w:trPr>
        <w:tc>
          <w:tcPr>
            <w:tcW w:w="728" w:type="dxa"/>
            <w:shd w:val="clear" w:color="auto" w:fill="FFFF00"/>
          </w:tcPr>
          <w:p w:rsidR="00091367" w:rsidRDefault="00091367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091367" w:rsidRPr="00E81C29" w:rsidRDefault="0009136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01.06.2020 № 61-Р "О временной маршрутизации лиц с психическими расстройствами и (или) расстройствами поведения в связи закрытием женского отделения Государственного бюджетного учреждения здравоохранения Московской области "Психиатрическая больница №7"</w:t>
            </w:r>
          </w:p>
        </w:tc>
        <w:tc>
          <w:tcPr>
            <w:tcW w:w="8691" w:type="dxa"/>
            <w:shd w:val="clear" w:color="auto" w:fill="FFFF00"/>
          </w:tcPr>
          <w:p w:rsidR="00091367" w:rsidRDefault="0009136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Больные должны доставляться не в психиатрическую больницу № 7, а в психиатрическую больницу № 2 имени Яковенко.</w:t>
            </w:r>
          </w:p>
        </w:tc>
      </w:tr>
      <w:tr w:rsidR="00091367" w:rsidTr="00091367">
        <w:trPr>
          <w:trHeight w:val="281"/>
        </w:trPr>
        <w:tc>
          <w:tcPr>
            <w:tcW w:w="728" w:type="dxa"/>
            <w:shd w:val="clear" w:color="auto" w:fill="FFFF00"/>
          </w:tcPr>
          <w:p w:rsidR="00091367" w:rsidRDefault="00091367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091367" w:rsidRPr="00091367" w:rsidRDefault="0009136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01.06.2020 № 64-Р "О порядке обеспечения лекарственными препаратами в течени</w:t>
            </w:r>
            <w:proofErr w:type="gramStart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 xml:space="preserve"> одного года в амбулаторных условиях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ангиопластика</w:t>
            </w:r>
            <w:proofErr w:type="spellEnd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 со </w:t>
            </w:r>
            <w:proofErr w:type="spellStart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стентированием</w:t>
            </w:r>
            <w:proofErr w:type="spellEnd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катетерная</w:t>
            </w:r>
            <w:proofErr w:type="spellEnd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 xml:space="preserve"> абляция по поводу </w:t>
            </w:r>
            <w:proofErr w:type="spellStart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r w:rsidRPr="0009136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заболеваний"</w:t>
            </w:r>
          </w:p>
        </w:tc>
        <w:tc>
          <w:tcPr>
            <w:tcW w:w="8691" w:type="dxa"/>
            <w:shd w:val="clear" w:color="auto" w:fill="FFFF00"/>
          </w:tcPr>
          <w:p w:rsidR="00091367" w:rsidRPr="00091367" w:rsidRDefault="0009136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7">
              <w:rPr>
                <w:rFonts w:ascii="Times New Roman" w:hAnsi="Times New Roman" w:cs="Times New Roman"/>
                <w:sz w:val="24"/>
                <w:szCs w:val="24"/>
              </w:rPr>
              <w:t>Приведены список лекарственных средств, которыми должны в течение года обеспечиваться пациенты с перечисленными диагнозами; Порядок обеспечения и формы документации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8" w:name="_Toc42093421"/>
            <w:r w:rsidRPr="00F6026C">
              <w:lastRenderedPageBreak/>
              <w:t>ЧС И РЕЖИМ ПОВЫШЕННОЙ ГОТОВНОСТИ</w:t>
            </w:r>
            <w:bookmarkEnd w:id="8"/>
          </w:p>
        </w:tc>
      </w:tr>
      <w:tr w:rsidR="00F2347F" w:rsidTr="00F2347F">
        <w:trPr>
          <w:trHeight w:val="281"/>
        </w:trPr>
        <w:tc>
          <w:tcPr>
            <w:tcW w:w="728" w:type="dxa"/>
            <w:shd w:val="clear" w:color="auto" w:fill="FFFF00"/>
          </w:tcPr>
          <w:p w:rsidR="00F2347F" w:rsidRDefault="00F2347F" w:rsidP="00F6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2347F" w:rsidRPr="00F2347F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Распоряжение заместителя председателя Правительства МО от 29.05.2020 N 40-р</w:t>
            </w:r>
          </w:p>
          <w:p w:rsidR="00F2347F" w:rsidRPr="00F50718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"Об утверждении Стандарта организации работы объектов розничной торговли, реализующих непродовольственные товары на площади торгового зала до 400 кв. м, в целях недопущения распространения новой коронавирусной инфекции (COVID-19)"</w:t>
            </w:r>
          </w:p>
        </w:tc>
        <w:tc>
          <w:tcPr>
            <w:tcW w:w="8691" w:type="dxa"/>
            <w:shd w:val="clear" w:color="auto" w:fill="FFFF00"/>
          </w:tcPr>
          <w:p w:rsidR="00F2347F" w:rsidRPr="00F2347F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Стандарт принят в рамках профилактических мер по недопущению распространения новой коронавирусной инфекции (COVID-19) на объектах розничной торговли, реализующих непродовольственные товары на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торгового зала до 400 кв. м.</w:t>
            </w:r>
          </w:p>
          <w:p w:rsidR="00F2347F" w:rsidRPr="00F50718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выполнение мероприятий Стандарта возложена персонально на руководителей </w:t>
            </w:r>
            <w:proofErr w:type="spellStart"/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 w:rsidRPr="00F2347F">
              <w:rPr>
                <w:rFonts w:ascii="Times New Roman" w:hAnsi="Times New Roman" w:cs="Times New Roman"/>
                <w:sz w:val="24"/>
                <w:szCs w:val="24"/>
              </w:rPr>
              <w:t xml:space="preserve"> и ИП, осуществляющих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на объектах торговли.</w:t>
            </w:r>
          </w:p>
        </w:tc>
      </w:tr>
      <w:tr w:rsidR="00F2347F" w:rsidTr="00F2347F">
        <w:trPr>
          <w:trHeight w:val="1195"/>
        </w:trPr>
        <w:tc>
          <w:tcPr>
            <w:tcW w:w="728" w:type="dxa"/>
            <w:shd w:val="clear" w:color="auto" w:fill="FFFF00"/>
          </w:tcPr>
          <w:p w:rsidR="00F2347F" w:rsidRDefault="00F2347F" w:rsidP="00F2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2347F" w:rsidRPr="00F2347F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Распоряжение заместителя председателя Правительства МО от 29.05.2020 N 41-р</w:t>
            </w:r>
          </w:p>
          <w:p w:rsidR="00F2347F" w:rsidRPr="00F50718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"Об утверждении Стандарта по организации работы предприятий и организаций в сфере услуг при очном присутствии гражданина в целях недопущения распространения новой коронавирусной инфекции (COVID-2019)"</w:t>
            </w:r>
          </w:p>
        </w:tc>
        <w:tc>
          <w:tcPr>
            <w:tcW w:w="8691" w:type="dxa"/>
            <w:shd w:val="clear" w:color="auto" w:fill="FFFF00"/>
          </w:tcPr>
          <w:p w:rsidR="00F2347F" w:rsidRPr="00F2347F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Стандарт принят в рамках профилактических мер по недопущению распространения новой коронавирусной инфекции (COVID-19) на предприятиях и в организациях бытового обслуживания, осуществляющих свою деятельность в 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сферах предоставления услуг:</w:t>
            </w:r>
          </w:p>
          <w:p w:rsidR="00F2347F" w:rsidRPr="00F2347F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- ремонт компьютеров, предметов личного потребления и хозяйственно-бытового назначения (за исключением служб доставки и дистанционного обслуживания);</w:t>
            </w:r>
          </w:p>
          <w:p w:rsidR="00F2347F" w:rsidRPr="00F2347F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 xml:space="preserve">- салоны красоты, парикмахерские, косметические, </w:t>
            </w:r>
            <w:proofErr w:type="spellStart"/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СПА-сал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массажные салоны, солярии;</w:t>
            </w:r>
          </w:p>
          <w:p w:rsidR="00F2347F" w:rsidRPr="00F2347F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бани и сауны;</w:t>
            </w:r>
          </w:p>
          <w:p w:rsidR="00F2347F" w:rsidRPr="00F2347F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- деятельность по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прочих персональных услуг.</w:t>
            </w:r>
          </w:p>
          <w:p w:rsidR="00F2347F" w:rsidRPr="00F50718" w:rsidRDefault="00F2347F" w:rsidP="00F2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выполнение мероприятий Стандарта возложена персонально на руководителей </w:t>
            </w:r>
            <w:proofErr w:type="spellStart"/>
            <w:r w:rsidRPr="00F2347F"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 w:rsidRPr="00F2347F">
              <w:rPr>
                <w:rFonts w:ascii="Times New Roman" w:hAnsi="Times New Roman" w:cs="Times New Roman"/>
                <w:sz w:val="24"/>
                <w:szCs w:val="24"/>
              </w:rPr>
              <w:t xml:space="preserve"> и ИП, осуществляющих деятельность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приятиях бытового обслуживания.</w:t>
            </w:r>
          </w:p>
        </w:tc>
      </w:tr>
      <w:tr w:rsidR="006752FD" w:rsidTr="00034C79">
        <w:trPr>
          <w:trHeight w:val="564"/>
        </w:trPr>
        <w:tc>
          <w:tcPr>
            <w:tcW w:w="728" w:type="dxa"/>
            <w:shd w:val="clear" w:color="auto" w:fill="FFFF00"/>
          </w:tcPr>
          <w:p w:rsidR="006752FD" w:rsidRDefault="006752FD" w:rsidP="00F6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752FD" w:rsidRPr="006752FD" w:rsidRDefault="006752FD" w:rsidP="0067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FD">
              <w:rPr>
                <w:rFonts w:ascii="Times New Roman" w:hAnsi="Times New Roman" w:cs="Times New Roman"/>
                <w:sz w:val="24"/>
                <w:szCs w:val="24"/>
              </w:rPr>
              <w:t>Распоряжение первого заместителя председателя Правительства МО от 29.05.2020 N 42-р</w:t>
            </w:r>
          </w:p>
          <w:p w:rsidR="006752FD" w:rsidRPr="003D5248" w:rsidRDefault="006752FD" w:rsidP="0067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FD">
              <w:rPr>
                <w:rFonts w:ascii="Times New Roman" w:hAnsi="Times New Roman" w:cs="Times New Roman"/>
                <w:sz w:val="24"/>
                <w:szCs w:val="24"/>
              </w:rPr>
              <w:t>"Об утверждении Стандарта по организации работы образовательных организаций, предоставляющих дошкольное образование, в целях недопущения распространения новой коронавирусной инфекции (COVID-2019)"</w:t>
            </w:r>
          </w:p>
        </w:tc>
        <w:tc>
          <w:tcPr>
            <w:tcW w:w="8691" w:type="dxa"/>
            <w:shd w:val="clear" w:color="auto" w:fill="FFFF00"/>
          </w:tcPr>
          <w:p w:rsidR="006752FD" w:rsidRPr="006752FD" w:rsidRDefault="006752FD" w:rsidP="0067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FD">
              <w:rPr>
                <w:rFonts w:ascii="Times New Roman" w:hAnsi="Times New Roman" w:cs="Times New Roman"/>
                <w:sz w:val="24"/>
                <w:szCs w:val="24"/>
              </w:rPr>
              <w:t>Стандарт принят для организации и проведения профилактических мероприятий по недопущению распространения новой коронавирусной инфекции (COVID-2019) в образовательных организациях, предоставляющих дошкольное образование, всех форм собственности, осуществляющих свою деятельность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Московской области.</w:t>
            </w:r>
          </w:p>
          <w:p w:rsidR="006752FD" w:rsidRPr="006752FD" w:rsidRDefault="006752FD" w:rsidP="0067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2FD">
              <w:rPr>
                <w:rFonts w:ascii="Times New Roman" w:hAnsi="Times New Roman" w:cs="Times New Roman"/>
                <w:sz w:val="24"/>
                <w:szCs w:val="24"/>
              </w:rPr>
              <w:t>Мероприятия Стандарта подлежат исполнению на постоянной основе при осуществлении деятельности организации до окончания ограничений, введенных на территории Московской области в целях недопущения распространения новой коронавирусной инфекции (COVID-2019); распространяются на всех воспитанников, сотрудников, родителей (законных представителей) воспитанников, посещающих организацию, а также сотрудников прочих организаций, привлекаемых к работе в организации по договорам 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(муниципальным) контрактам.</w:t>
            </w:r>
            <w:proofErr w:type="gramEnd"/>
          </w:p>
          <w:p w:rsidR="006752FD" w:rsidRPr="003D5248" w:rsidRDefault="006752FD" w:rsidP="0067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выполнение мероприятий настоящего Стандарта возлагается персональ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руководителя организации.</w:t>
            </w: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B5"/>
    <w:rsid w:val="00000594"/>
    <w:rsid w:val="000019A1"/>
    <w:rsid w:val="00003182"/>
    <w:rsid w:val="00005757"/>
    <w:rsid w:val="00006260"/>
    <w:rsid w:val="00012393"/>
    <w:rsid w:val="000124C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4C79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349B"/>
    <w:rsid w:val="00067E20"/>
    <w:rsid w:val="000702A1"/>
    <w:rsid w:val="000754FA"/>
    <w:rsid w:val="000815CF"/>
    <w:rsid w:val="000825FD"/>
    <w:rsid w:val="00091367"/>
    <w:rsid w:val="00093229"/>
    <w:rsid w:val="00095F1B"/>
    <w:rsid w:val="000974FC"/>
    <w:rsid w:val="000974FD"/>
    <w:rsid w:val="000975C9"/>
    <w:rsid w:val="00097DDA"/>
    <w:rsid w:val="000A164E"/>
    <w:rsid w:val="000A4591"/>
    <w:rsid w:val="000B4768"/>
    <w:rsid w:val="000B497F"/>
    <w:rsid w:val="000B4EE3"/>
    <w:rsid w:val="000B7E74"/>
    <w:rsid w:val="000C0327"/>
    <w:rsid w:val="000C15CA"/>
    <w:rsid w:val="000C1CBD"/>
    <w:rsid w:val="000D03AF"/>
    <w:rsid w:val="000D2131"/>
    <w:rsid w:val="000D269B"/>
    <w:rsid w:val="000D5BC1"/>
    <w:rsid w:val="000E08D8"/>
    <w:rsid w:val="000E302F"/>
    <w:rsid w:val="00102ABE"/>
    <w:rsid w:val="0010335F"/>
    <w:rsid w:val="00104EAF"/>
    <w:rsid w:val="00106676"/>
    <w:rsid w:val="00106CFD"/>
    <w:rsid w:val="00106EB9"/>
    <w:rsid w:val="00107869"/>
    <w:rsid w:val="00107E0E"/>
    <w:rsid w:val="00110A3D"/>
    <w:rsid w:val="00111496"/>
    <w:rsid w:val="00113D65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57553"/>
    <w:rsid w:val="00160660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950AE"/>
    <w:rsid w:val="00196456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0659"/>
    <w:rsid w:val="001D25A6"/>
    <w:rsid w:val="001D2B03"/>
    <w:rsid w:val="001D618E"/>
    <w:rsid w:val="001D663C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3FFC"/>
    <w:rsid w:val="002051CC"/>
    <w:rsid w:val="002072A2"/>
    <w:rsid w:val="00211913"/>
    <w:rsid w:val="0022286F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009"/>
    <w:rsid w:val="0024473E"/>
    <w:rsid w:val="00246485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5EED"/>
    <w:rsid w:val="002769F4"/>
    <w:rsid w:val="00277D2D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47D"/>
    <w:rsid w:val="002A3B2F"/>
    <w:rsid w:val="002A452D"/>
    <w:rsid w:val="002A4599"/>
    <w:rsid w:val="002A4653"/>
    <w:rsid w:val="002A6C45"/>
    <w:rsid w:val="002B067F"/>
    <w:rsid w:val="002B2F8A"/>
    <w:rsid w:val="002B3084"/>
    <w:rsid w:val="002B58ED"/>
    <w:rsid w:val="002B7E9F"/>
    <w:rsid w:val="002C024D"/>
    <w:rsid w:val="002C1D5D"/>
    <w:rsid w:val="002C24BC"/>
    <w:rsid w:val="002C2785"/>
    <w:rsid w:val="002C3FD0"/>
    <w:rsid w:val="002D19B1"/>
    <w:rsid w:val="002D36CF"/>
    <w:rsid w:val="002D68AB"/>
    <w:rsid w:val="002D7105"/>
    <w:rsid w:val="002D780D"/>
    <w:rsid w:val="002D7A17"/>
    <w:rsid w:val="002E3905"/>
    <w:rsid w:val="002E692B"/>
    <w:rsid w:val="002E6B4B"/>
    <w:rsid w:val="002E6D3B"/>
    <w:rsid w:val="002F0A72"/>
    <w:rsid w:val="002F1A1A"/>
    <w:rsid w:val="002F24E1"/>
    <w:rsid w:val="002F3C27"/>
    <w:rsid w:val="002F3FAF"/>
    <w:rsid w:val="002F4003"/>
    <w:rsid w:val="002F53E3"/>
    <w:rsid w:val="00300350"/>
    <w:rsid w:val="003014F3"/>
    <w:rsid w:val="003028BD"/>
    <w:rsid w:val="0030639D"/>
    <w:rsid w:val="003163F4"/>
    <w:rsid w:val="00332559"/>
    <w:rsid w:val="00332CD1"/>
    <w:rsid w:val="003331D5"/>
    <w:rsid w:val="00333463"/>
    <w:rsid w:val="00333D06"/>
    <w:rsid w:val="0033457E"/>
    <w:rsid w:val="00341233"/>
    <w:rsid w:val="00341547"/>
    <w:rsid w:val="0034468E"/>
    <w:rsid w:val="00345CFB"/>
    <w:rsid w:val="003471F2"/>
    <w:rsid w:val="003565AF"/>
    <w:rsid w:val="00356A88"/>
    <w:rsid w:val="00360774"/>
    <w:rsid w:val="00370ACE"/>
    <w:rsid w:val="0037131F"/>
    <w:rsid w:val="00371850"/>
    <w:rsid w:val="0037299D"/>
    <w:rsid w:val="003732B4"/>
    <w:rsid w:val="003747D6"/>
    <w:rsid w:val="003820D6"/>
    <w:rsid w:val="00383583"/>
    <w:rsid w:val="00387574"/>
    <w:rsid w:val="003901E8"/>
    <w:rsid w:val="00392CE0"/>
    <w:rsid w:val="00396FA6"/>
    <w:rsid w:val="0039799B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3F03"/>
    <w:rsid w:val="003C7CBF"/>
    <w:rsid w:val="003D0569"/>
    <w:rsid w:val="003D1F81"/>
    <w:rsid w:val="003D2975"/>
    <w:rsid w:val="003D383C"/>
    <w:rsid w:val="003D3B1C"/>
    <w:rsid w:val="003D4CCD"/>
    <w:rsid w:val="003D5248"/>
    <w:rsid w:val="003D552E"/>
    <w:rsid w:val="003D7FA9"/>
    <w:rsid w:val="003E2C5C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C62"/>
    <w:rsid w:val="00462DA2"/>
    <w:rsid w:val="00462FA2"/>
    <w:rsid w:val="0046767E"/>
    <w:rsid w:val="00467E0A"/>
    <w:rsid w:val="00474090"/>
    <w:rsid w:val="00474C2A"/>
    <w:rsid w:val="004752B4"/>
    <w:rsid w:val="00477006"/>
    <w:rsid w:val="00483644"/>
    <w:rsid w:val="0048532D"/>
    <w:rsid w:val="0049539E"/>
    <w:rsid w:val="004974C8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377"/>
    <w:rsid w:val="004F6E6A"/>
    <w:rsid w:val="0050283E"/>
    <w:rsid w:val="00503D9D"/>
    <w:rsid w:val="00504289"/>
    <w:rsid w:val="005055E6"/>
    <w:rsid w:val="0050564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45626"/>
    <w:rsid w:val="00554511"/>
    <w:rsid w:val="005550C9"/>
    <w:rsid w:val="0056344E"/>
    <w:rsid w:val="00565FBB"/>
    <w:rsid w:val="005661D4"/>
    <w:rsid w:val="00567A04"/>
    <w:rsid w:val="00574852"/>
    <w:rsid w:val="005749B2"/>
    <w:rsid w:val="005762BA"/>
    <w:rsid w:val="005775E0"/>
    <w:rsid w:val="005800F0"/>
    <w:rsid w:val="00584B3F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A48E5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386"/>
    <w:rsid w:val="005F7824"/>
    <w:rsid w:val="006019C5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ABC"/>
    <w:rsid w:val="00645F7F"/>
    <w:rsid w:val="0065080D"/>
    <w:rsid w:val="00650C72"/>
    <w:rsid w:val="006514E1"/>
    <w:rsid w:val="00654041"/>
    <w:rsid w:val="006545DB"/>
    <w:rsid w:val="00654CDF"/>
    <w:rsid w:val="00655B98"/>
    <w:rsid w:val="0065625D"/>
    <w:rsid w:val="0066176C"/>
    <w:rsid w:val="006619F0"/>
    <w:rsid w:val="00662D8E"/>
    <w:rsid w:val="00665B64"/>
    <w:rsid w:val="00665B8C"/>
    <w:rsid w:val="00666981"/>
    <w:rsid w:val="006670B5"/>
    <w:rsid w:val="00670481"/>
    <w:rsid w:val="0067318D"/>
    <w:rsid w:val="006752F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65B8"/>
    <w:rsid w:val="0069781C"/>
    <w:rsid w:val="006A11B1"/>
    <w:rsid w:val="006A71B9"/>
    <w:rsid w:val="006B2902"/>
    <w:rsid w:val="006C0E34"/>
    <w:rsid w:val="006C155B"/>
    <w:rsid w:val="006C21C9"/>
    <w:rsid w:val="006C2975"/>
    <w:rsid w:val="006C50EB"/>
    <w:rsid w:val="006C5256"/>
    <w:rsid w:val="006D046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2D56"/>
    <w:rsid w:val="0076592C"/>
    <w:rsid w:val="0077107C"/>
    <w:rsid w:val="00772F3D"/>
    <w:rsid w:val="007740B7"/>
    <w:rsid w:val="00775667"/>
    <w:rsid w:val="007801EA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3A6F"/>
    <w:rsid w:val="007A4FDA"/>
    <w:rsid w:val="007B0B93"/>
    <w:rsid w:val="007B3609"/>
    <w:rsid w:val="007B49DC"/>
    <w:rsid w:val="007B5707"/>
    <w:rsid w:val="007C136F"/>
    <w:rsid w:val="007C6896"/>
    <w:rsid w:val="007C79F6"/>
    <w:rsid w:val="007E3CF4"/>
    <w:rsid w:val="007E6963"/>
    <w:rsid w:val="007E722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47EC"/>
    <w:rsid w:val="008258FA"/>
    <w:rsid w:val="00831660"/>
    <w:rsid w:val="00837353"/>
    <w:rsid w:val="0085090A"/>
    <w:rsid w:val="0085148F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E7197"/>
    <w:rsid w:val="008F08CF"/>
    <w:rsid w:val="008F09EF"/>
    <w:rsid w:val="008F0DF7"/>
    <w:rsid w:val="008F0DF8"/>
    <w:rsid w:val="008F6374"/>
    <w:rsid w:val="0090523A"/>
    <w:rsid w:val="00906F56"/>
    <w:rsid w:val="00911EB8"/>
    <w:rsid w:val="00912F8C"/>
    <w:rsid w:val="00913006"/>
    <w:rsid w:val="009178C3"/>
    <w:rsid w:val="009224DB"/>
    <w:rsid w:val="00923EC1"/>
    <w:rsid w:val="009246ED"/>
    <w:rsid w:val="00927D72"/>
    <w:rsid w:val="00932A53"/>
    <w:rsid w:val="009333B2"/>
    <w:rsid w:val="00935505"/>
    <w:rsid w:val="00935792"/>
    <w:rsid w:val="00946A3C"/>
    <w:rsid w:val="009510A5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873ED"/>
    <w:rsid w:val="009906C5"/>
    <w:rsid w:val="00994E64"/>
    <w:rsid w:val="0099625F"/>
    <w:rsid w:val="00996CED"/>
    <w:rsid w:val="00997C76"/>
    <w:rsid w:val="009A12C7"/>
    <w:rsid w:val="009A3D29"/>
    <w:rsid w:val="009A6496"/>
    <w:rsid w:val="009A76CF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9B5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9A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055F"/>
    <w:rsid w:val="00AB2A46"/>
    <w:rsid w:val="00AB3906"/>
    <w:rsid w:val="00AB4E42"/>
    <w:rsid w:val="00AB6EB8"/>
    <w:rsid w:val="00AC6D0C"/>
    <w:rsid w:val="00AC78B9"/>
    <w:rsid w:val="00AD315D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11A"/>
    <w:rsid w:val="00B0092C"/>
    <w:rsid w:val="00B0099C"/>
    <w:rsid w:val="00B02113"/>
    <w:rsid w:val="00B043E9"/>
    <w:rsid w:val="00B04BDB"/>
    <w:rsid w:val="00B05A72"/>
    <w:rsid w:val="00B12733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4DA9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B3130"/>
    <w:rsid w:val="00BB3888"/>
    <w:rsid w:val="00BC200D"/>
    <w:rsid w:val="00BC31D0"/>
    <w:rsid w:val="00BC717F"/>
    <w:rsid w:val="00BD0D4B"/>
    <w:rsid w:val="00BD26FD"/>
    <w:rsid w:val="00BD2784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5287"/>
    <w:rsid w:val="00BF6B4A"/>
    <w:rsid w:val="00C11A20"/>
    <w:rsid w:val="00C14D3B"/>
    <w:rsid w:val="00C15D26"/>
    <w:rsid w:val="00C167EE"/>
    <w:rsid w:val="00C17CE7"/>
    <w:rsid w:val="00C20FAD"/>
    <w:rsid w:val="00C21668"/>
    <w:rsid w:val="00C22002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67CF"/>
    <w:rsid w:val="00C57A29"/>
    <w:rsid w:val="00C60E46"/>
    <w:rsid w:val="00C63B89"/>
    <w:rsid w:val="00C720DA"/>
    <w:rsid w:val="00C74BF0"/>
    <w:rsid w:val="00C7533B"/>
    <w:rsid w:val="00C76527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4F47"/>
    <w:rsid w:val="00CA7319"/>
    <w:rsid w:val="00CB2BA8"/>
    <w:rsid w:val="00CB32AA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6835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4143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65F9"/>
    <w:rsid w:val="00E3756F"/>
    <w:rsid w:val="00E40070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1C29"/>
    <w:rsid w:val="00E84556"/>
    <w:rsid w:val="00E84AAF"/>
    <w:rsid w:val="00E84BB0"/>
    <w:rsid w:val="00E874FB"/>
    <w:rsid w:val="00E917F2"/>
    <w:rsid w:val="00E929D2"/>
    <w:rsid w:val="00E94321"/>
    <w:rsid w:val="00EA201F"/>
    <w:rsid w:val="00EB003D"/>
    <w:rsid w:val="00EB0158"/>
    <w:rsid w:val="00EB13BA"/>
    <w:rsid w:val="00EB1A74"/>
    <w:rsid w:val="00EB2032"/>
    <w:rsid w:val="00EB74CE"/>
    <w:rsid w:val="00EC59C8"/>
    <w:rsid w:val="00EC6C2D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21866"/>
    <w:rsid w:val="00F222C5"/>
    <w:rsid w:val="00F2347F"/>
    <w:rsid w:val="00F31080"/>
    <w:rsid w:val="00F31836"/>
    <w:rsid w:val="00F34015"/>
    <w:rsid w:val="00F41B89"/>
    <w:rsid w:val="00F43205"/>
    <w:rsid w:val="00F45D0F"/>
    <w:rsid w:val="00F50718"/>
    <w:rsid w:val="00F514F6"/>
    <w:rsid w:val="00F52D97"/>
    <w:rsid w:val="00F57BA8"/>
    <w:rsid w:val="00F6026C"/>
    <w:rsid w:val="00F61E52"/>
    <w:rsid w:val="00F64F20"/>
    <w:rsid w:val="00F6736C"/>
    <w:rsid w:val="00F70269"/>
    <w:rsid w:val="00F732AD"/>
    <w:rsid w:val="00F74645"/>
    <w:rsid w:val="00F808F4"/>
    <w:rsid w:val="00F810E3"/>
    <w:rsid w:val="00F8251A"/>
    <w:rsid w:val="00F854A7"/>
    <w:rsid w:val="00F875CB"/>
    <w:rsid w:val="00F912C4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45FC"/>
    <w:rsid w:val="00FB504B"/>
    <w:rsid w:val="00FB56FB"/>
    <w:rsid w:val="00FC12EA"/>
    <w:rsid w:val="00FC1760"/>
    <w:rsid w:val="00FC385A"/>
    <w:rsid w:val="00FD2877"/>
    <w:rsid w:val="00FD563F"/>
    <w:rsid w:val="00FE17D7"/>
    <w:rsid w:val="00FE36DF"/>
    <w:rsid w:val="00FE4768"/>
    <w:rsid w:val="00FE4EE3"/>
    <w:rsid w:val="00FE6180"/>
    <w:rsid w:val="00FE64E0"/>
    <w:rsid w:val="00FE7432"/>
    <w:rsid w:val="00FF0E2C"/>
    <w:rsid w:val="00FF3AA1"/>
    <w:rsid w:val="00FF3C94"/>
    <w:rsid w:val="00FF49ED"/>
    <w:rsid w:val="00FF4A72"/>
    <w:rsid w:val="00FF6018"/>
    <w:rsid w:val="00FF61FD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nhideWhenUsed/>
    <w:rsid w:val="000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nhideWhenUsed/>
    <w:rsid w:val="000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utt.ly/dyXLd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8EC5-0DDA-4CB4-97A3-425AD287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exif_MSED_dc671798f6be0e4aff7370542f974bf7dd89ad817b2794157ed87326f1392c99</dc:description>
  <cp:lastModifiedBy>Super</cp:lastModifiedBy>
  <cp:revision>3</cp:revision>
  <dcterms:created xsi:type="dcterms:W3CDTF">2020-06-03T15:17:00Z</dcterms:created>
  <dcterms:modified xsi:type="dcterms:W3CDTF">2020-06-08T11:57:00Z</dcterms:modified>
</cp:coreProperties>
</file>