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4BE2E">
      <w:pPr>
        <w:pStyle w:val="6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Утверждена</w:t>
      </w:r>
    </w:p>
    <w:p w14:paraId="42B0D7FF">
      <w:pPr>
        <w:pStyle w:val="6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распоряжением начальника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Финансового управления </w:t>
      </w:r>
    </w:p>
    <w:p w14:paraId="465C5A95">
      <w:pPr>
        <w:pStyle w:val="6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Лыткарино </w:t>
      </w:r>
    </w:p>
    <w:p w14:paraId="0CE8EAF8">
      <w:pPr>
        <w:pStyle w:val="6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31.10.2023  № 60</w:t>
      </w:r>
    </w:p>
    <w:p w14:paraId="71F03F81">
      <w:pPr>
        <w:pStyle w:val="6"/>
        <w:ind w:left="4536"/>
        <w:rPr>
          <w:rFonts w:ascii="Times New Roman" w:hAnsi="Times New Roman" w:cs="Times New Roman"/>
          <w:sz w:val="24"/>
          <w:szCs w:val="24"/>
        </w:rPr>
      </w:pPr>
    </w:p>
    <w:p w14:paraId="59B13905">
      <w:pPr>
        <w:pStyle w:val="6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распоряжения 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28.10.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770AA9"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</w:p>
    <w:p w14:paraId="22001E23">
      <w:pPr>
        <w:pStyle w:val="8"/>
        <w:spacing w:before="120" w:line="26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84A5C4">
      <w:pPr>
        <w:pStyle w:val="8"/>
        <w:ind w:left="851" w:right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Методика прогнозирования  поступлений доходов </w:t>
      </w:r>
    </w:p>
    <w:p w14:paraId="4DFFC1ED">
      <w:pPr>
        <w:pStyle w:val="8"/>
        <w:ind w:left="851" w:right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бюджет городского округа Лыткарино, администрируемых Финансовым управлением города Лыткарино </w:t>
      </w:r>
    </w:p>
    <w:p w14:paraId="7E8DFDC0">
      <w:pPr>
        <w:pStyle w:val="8"/>
        <w:spacing w:before="120" w:line="269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F107691">
      <w:pPr>
        <w:tabs>
          <w:tab w:val="left" w:pos="993"/>
        </w:tabs>
        <w:autoSpaceDE w:val="0"/>
        <w:autoSpaceDN w:val="0"/>
        <w:adjustRightInd w:val="0"/>
        <w:spacing w:before="12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Настоящая Методика прогнозирования поступлений доходов в бюджет городского округа Лыткарино Московской области (далее – бюджет городского округа Лыткарино), администрируемых Финансовым управлением города Лыткарино (далее – Методика, Управление), разработана в целях реализации Управлением полномочий главного администратора доходов бюджета городского округа Лыткарино в части прогнозирования поступлений по закрепленным за ним доходным источникам, предоставления сведений, необходимых для составления проекта бюджета городского округа Лыткарино, составления и ведения кассового плана, проведения анализа отклонений фактического исполнения доходов бюджета от прогноза доходов.</w:t>
      </w:r>
    </w:p>
    <w:p w14:paraId="069C0A9F">
      <w:pPr>
        <w:tabs>
          <w:tab w:val="left" w:pos="993"/>
        </w:tabs>
        <w:autoSpaceDE w:val="0"/>
        <w:autoSpaceDN w:val="0"/>
        <w:adjustRightInd w:val="0"/>
        <w:spacing w:before="12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Методика устанавливает порядок формирования прогноза доходов бюджета городского округа Лыткарино на очередной финансовый год и на плановый период, администрируемых Управлением, в соответствии 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 xml:space="preserve">с требованиями </w:t>
      </w:r>
      <w:r>
        <w:fldChar w:fldCharType="begin"/>
      </w:r>
      <w:r>
        <w:instrText xml:space="preserve"> HYPERLINK "https://login.consultant.ru/link/?req=doc&amp;base=LAW&amp;n=511241&amp;dst=2345"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статьи 160.1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>
        <w:fldChar w:fldCharType="begin"/>
      </w:r>
      <w:r>
        <w:instrText xml:space="preserve"> HYPERLINK "https://login.consultant.ru/link/?req=doc&amp;base=LAW&amp;n=509207"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Правительства Российской Федерации от 23.06.2016 № 574 «Об общих требованиях к методике прогнозирования поступлений доходов 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в бюджеты бюджетной системы Российской Федерации».</w:t>
      </w:r>
    </w:p>
    <w:p w14:paraId="5168CB7C">
      <w:pPr>
        <w:tabs>
          <w:tab w:val="left" w:pos="993"/>
        </w:tabs>
        <w:autoSpaceDE w:val="0"/>
        <w:autoSpaceDN w:val="0"/>
        <w:adjustRightInd w:val="0"/>
        <w:spacing w:before="12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Прогноз доходов осуществляется по кодам бюджетной классификации доходов бюджета городского округа Лыткарино, закрепленным за Управлением постановлением главы городского округа Лыткарино.</w:t>
      </w:r>
    </w:p>
    <w:p w14:paraId="2A4F9E7C">
      <w:pPr>
        <w:tabs>
          <w:tab w:val="left" w:pos="993"/>
        </w:tabs>
        <w:autoSpaceDE w:val="0"/>
        <w:autoSpaceDN w:val="0"/>
        <w:adjustRightInd w:val="0"/>
        <w:spacing w:before="12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Корректировка прогнозных показателей доходов бюджета  городского округа Лыткарино в текущем финансовом году по каждому доходному источнику осуществляется исходя из фактического объема поступлений текущего финансового года и иных факторов, оказывающих влияние на поступление доходов в бюджет городского округа  Лыткарино.</w:t>
      </w:r>
    </w:p>
    <w:p w14:paraId="6B7942DB">
      <w:pPr>
        <w:tabs>
          <w:tab w:val="left" w:pos="993"/>
        </w:tabs>
        <w:autoSpaceDE w:val="0"/>
        <w:autoSpaceDN w:val="0"/>
        <w:adjustRightInd w:val="0"/>
        <w:spacing w:before="12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При отсутствии необходимых данных (в случае администрирования кода доходов менее одного года) прогнозирование доходов бюджета городского округа Лыткарино  на очередной финансовый год и плановый период осуществляется исходя из фактического объема поступлений текущего финансового года и иных факторов, оказывающих влияние на поступление доходов в бюджет городского округа  Лыткарино.</w:t>
      </w:r>
    </w:p>
    <w:p w14:paraId="56E7B9E9">
      <w:pPr>
        <w:pStyle w:val="6"/>
        <w:tabs>
          <w:tab w:val="left" w:pos="993"/>
        </w:tabs>
        <w:spacing w:before="120" w:line="269" w:lineRule="auto"/>
        <w:ind w:firstLine="567"/>
        <w:jc w:val="both"/>
        <w:outlineLvl w:val="1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</w:r>
      <w:r>
        <w:fldChar w:fldCharType="begin"/>
      </w:r>
      <w:r>
        <w:instrText xml:space="preserve"> HYPERLINK "https://login.consultant.ru/link/?req=doc&amp;base=MOB&amp;n=411883&amp;dst=100022"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  <w:t>Порядок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расчета прогнозных поступлений доходов бюджета  городского округа Лыткарино, администрируемых Управлением, приведен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в приложении к настоящей Методике.</w:t>
      </w:r>
      <w:r>
        <w:rPr>
          <w:sz w:val="24"/>
          <w:szCs w:val="24"/>
        </w:rPr>
        <w:t xml:space="preserve"> </w:t>
      </w:r>
    </w:p>
    <w:p w14:paraId="68869CAC">
      <w:pPr>
        <w:pStyle w:val="6"/>
        <w:jc w:val="right"/>
        <w:outlineLvl w:val="1"/>
        <w:rPr>
          <w:sz w:val="24"/>
          <w:szCs w:val="24"/>
        </w:rPr>
      </w:pPr>
    </w:p>
    <w:p w14:paraId="1683370F">
      <w:pPr>
        <w:pStyle w:val="6"/>
        <w:jc w:val="right"/>
        <w:outlineLvl w:val="1"/>
        <w:rPr>
          <w:sz w:val="24"/>
          <w:szCs w:val="24"/>
        </w:rPr>
      </w:pPr>
    </w:p>
    <w:p w14:paraId="31E10F21">
      <w:pPr>
        <w:pStyle w:val="6"/>
        <w:jc w:val="right"/>
        <w:outlineLvl w:val="1"/>
        <w:rPr>
          <w:sz w:val="24"/>
          <w:szCs w:val="24"/>
        </w:rPr>
      </w:pPr>
    </w:p>
    <w:p w14:paraId="536E1F50">
      <w:pPr>
        <w:pStyle w:val="6"/>
        <w:jc w:val="right"/>
        <w:outlineLvl w:val="1"/>
        <w:rPr>
          <w:sz w:val="24"/>
          <w:szCs w:val="24"/>
        </w:rPr>
      </w:pPr>
    </w:p>
    <w:p w14:paraId="7C3E1428">
      <w:pPr>
        <w:pStyle w:val="6"/>
        <w:jc w:val="right"/>
        <w:outlineLvl w:val="1"/>
        <w:rPr>
          <w:sz w:val="24"/>
          <w:szCs w:val="24"/>
        </w:rPr>
      </w:pPr>
    </w:p>
    <w:p w14:paraId="1966FF5C">
      <w:pPr>
        <w:pStyle w:val="6"/>
        <w:jc w:val="right"/>
        <w:outlineLvl w:val="1"/>
        <w:rPr>
          <w:sz w:val="24"/>
          <w:szCs w:val="24"/>
        </w:rPr>
      </w:pPr>
    </w:p>
    <w:p w14:paraId="131B9CA6">
      <w:pPr>
        <w:pStyle w:val="6"/>
        <w:jc w:val="right"/>
        <w:outlineLvl w:val="1"/>
        <w:rPr>
          <w:sz w:val="24"/>
          <w:szCs w:val="24"/>
        </w:rPr>
        <w:sectPr>
          <w:pgSz w:w="11905" w:h="16838"/>
          <w:pgMar w:top="536" w:right="565" w:bottom="1134" w:left="1560" w:header="0" w:footer="0" w:gutter="0"/>
          <w:cols w:space="720" w:num="1"/>
          <w:titlePg/>
          <w:docGrid w:linePitch="299" w:charSpace="0"/>
        </w:sectPr>
      </w:pPr>
    </w:p>
    <w:p w14:paraId="027B014B">
      <w:pPr>
        <w:pStyle w:val="6"/>
        <w:ind w:left="10065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14:paraId="60C62F8C">
      <w:pPr>
        <w:pStyle w:val="6"/>
        <w:ind w:left="100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Методике прогнозирования поступлений</w:t>
      </w:r>
    </w:p>
    <w:p w14:paraId="48DCEEAF">
      <w:pPr>
        <w:pStyle w:val="6"/>
        <w:ind w:left="100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доходов в бюджет городского округа Лыткарино,</w:t>
      </w:r>
    </w:p>
    <w:p w14:paraId="036F7BA9">
      <w:pPr>
        <w:pStyle w:val="6"/>
        <w:ind w:left="100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администрируемых Финансовым управлением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города Лыткарино</w:t>
      </w:r>
    </w:p>
    <w:p w14:paraId="28FE2551">
      <w:pPr>
        <w:pStyle w:val="6"/>
        <w:ind w:left="1560" w:right="1273"/>
        <w:jc w:val="center"/>
      </w:pPr>
    </w:p>
    <w:p w14:paraId="55D70BC3">
      <w:pPr>
        <w:pStyle w:val="6"/>
        <w:ind w:left="1560" w:right="1273"/>
        <w:jc w:val="center"/>
      </w:pPr>
      <w:r>
        <w:fldChar w:fldCharType="begin"/>
      </w:r>
      <w:r>
        <w:instrText xml:space="preserve"> HYPERLINK "https://login.consultant.ru/link/?req=doc&amp;base=MOB&amp;n=411883&amp;dst=100022"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  <w:t>Порядок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расчета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прогнозных поступлений доходов  бюджета  городского округа Лыткарино, администрируемых Финансовым управлением города Лыткарино</w:t>
      </w:r>
    </w:p>
    <w:p w14:paraId="3283E423">
      <w:pPr>
        <w:pStyle w:val="6"/>
        <w:jc w:val="right"/>
      </w:pPr>
    </w:p>
    <w:tbl>
      <w:tblPr>
        <w:tblStyle w:val="3"/>
        <w:tblW w:w="15452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59"/>
        <w:gridCol w:w="567"/>
        <w:gridCol w:w="1418"/>
        <w:gridCol w:w="2126"/>
        <w:gridCol w:w="1701"/>
        <w:gridCol w:w="1134"/>
        <w:gridCol w:w="2126"/>
        <w:gridCol w:w="2694"/>
        <w:gridCol w:w="3327"/>
      </w:tblGrid>
      <w:tr w14:paraId="7E2AF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9" w:type="dxa"/>
          </w:tcPr>
          <w:p w14:paraId="6CFFB069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567" w:type="dxa"/>
          </w:tcPr>
          <w:p w14:paraId="3705DD75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ГАДБ</w:t>
            </w:r>
          </w:p>
        </w:tc>
        <w:tc>
          <w:tcPr>
            <w:tcW w:w="1418" w:type="dxa"/>
          </w:tcPr>
          <w:p w14:paraId="05145884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ГАДБ</w:t>
            </w:r>
          </w:p>
        </w:tc>
        <w:tc>
          <w:tcPr>
            <w:tcW w:w="2126" w:type="dxa"/>
          </w:tcPr>
          <w:p w14:paraId="57FE023B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701" w:type="dxa"/>
          </w:tcPr>
          <w:p w14:paraId="7547C0BF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КБК доходов</w:t>
            </w:r>
          </w:p>
        </w:tc>
        <w:tc>
          <w:tcPr>
            <w:tcW w:w="1134" w:type="dxa"/>
          </w:tcPr>
          <w:p w14:paraId="2FEBEA50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метода расчета</w:t>
            </w:r>
          </w:p>
        </w:tc>
        <w:tc>
          <w:tcPr>
            <w:tcW w:w="2126" w:type="dxa"/>
          </w:tcPr>
          <w:p w14:paraId="4EFDC160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Формула расчета</w:t>
            </w:r>
          </w:p>
        </w:tc>
        <w:tc>
          <w:tcPr>
            <w:tcW w:w="2694" w:type="dxa"/>
          </w:tcPr>
          <w:p w14:paraId="6ABA4454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Алгоритм расчета</w:t>
            </w:r>
          </w:p>
        </w:tc>
        <w:tc>
          <w:tcPr>
            <w:tcW w:w="3327" w:type="dxa"/>
          </w:tcPr>
          <w:p w14:paraId="20618C17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Описание показателей</w:t>
            </w:r>
          </w:p>
        </w:tc>
      </w:tr>
      <w:tr w14:paraId="0ACF1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9" w:type="dxa"/>
          </w:tcPr>
          <w:p w14:paraId="0C002710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40E76792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13680B42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5BA32C55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4732FF49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550B88FF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14:paraId="620CE545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4" w:type="dxa"/>
          </w:tcPr>
          <w:p w14:paraId="3093AD8C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27" w:type="dxa"/>
          </w:tcPr>
          <w:p w14:paraId="0081374E">
            <w:pPr>
              <w:pStyle w:val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7009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" w:hRule="atLeast"/>
        </w:trPr>
        <w:tc>
          <w:tcPr>
            <w:tcW w:w="359" w:type="dxa"/>
          </w:tcPr>
          <w:p w14:paraId="668FAC30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67" w:type="dxa"/>
          </w:tcPr>
          <w:p w14:paraId="18229775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418" w:type="dxa"/>
          </w:tcPr>
          <w:p w14:paraId="0D602D7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города Лыткарино</w:t>
            </w:r>
          </w:p>
        </w:tc>
        <w:tc>
          <w:tcPr>
            <w:tcW w:w="2126" w:type="dxa"/>
          </w:tcPr>
          <w:p w14:paraId="6390B0A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1 13 02994 04 0000 130</w:t>
            </w:r>
          </w:p>
        </w:tc>
        <w:tc>
          <w:tcPr>
            <w:tcW w:w="1701" w:type="dxa"/>
          </w:tcPr>
          <w:p w14:paraId="3DE71A5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134" w:type="dxa"/>
          </w:tcPr>
          <w:p w14:paraId="6C8BED72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Иной способ</w:t>
            </w:r>
          </w:p>
        </w:tc>
        <w:tc>
          <w:tcPr>
            <w:tcW w:w="2126" w:type="dxa"/>
          </w:tcPr>
          <w:p w14:paraId="28359DF1">
            <w:pPr>
              <w:pStyle w:val="6"/>
              <w:ind w:right="-62"/>
              <w:rPr>
                <w:rFonts w:ascii="Times New Roman" w:hAnsi="Times New Roman" w:cs="Times New Roman"/>
                <w:position w:val="-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11"/>
                <w:sz w:val="20"/>
                <w:szCs w:val="20"/>
              </w:rPr>
              <w:t>ППкз = ФПкз</w:t>
            </w:r>
          </w:p>
        </w:tc>
        <w:tc>
          <w:tcPr>
            <w:tcW w:w="2694" w:type="dxa"/>
          </w:tcPr>
          <w:p w14:paraId="5C2B0F30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Поступление прочих доходов от компенсации затрат бюджетов городских округов носит несистемный или разовый характер, спрогнозировать его достоверно невозможно. Расчет прогнозного объема данных доходов основывается на их фактическом поступлении</w:t>
            </w:r>
          </w:p>
          <w:p w14:paraId="2DA9673C">
            <w:pPr>
              <w:pStyle w:val="6"/>
            </w:pPr>
          </w:p>
          <w:p w14:paraId="6A559EE2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7" w:type="dxa"/>
          </w:tcPr>
          <w:p w14:paraId="06EB22EC">
            <w:pPr>
              <w:pStyle w:val="6"/>
              <w:spacing w:line="26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ППкз- прогнозируемые поступления прочих доходов от компенсации затрат бюджетов городских округов; ФПкз- фактические поступления прочих доходов от компенсации затрат бюджетов городских округов по данным бюджетной отчетности главного администратора доходов.</w:t>
            </w:r>
          </w:p>
          <w:p w14:paraId="741588F1">
            <w:pPr>
              <w:pStyle w:val="6"/>
              <w:spacing w:line="26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Источники данных:</w:t>
            </w:r>
          </w:p>
          <w:p w14:paraId="5B792F85">
            <w:pPr>
              <w:pStyle w:val="6"/>
              <w:spacing w:line="26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(ф. 05031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  <w:p w14:paraId="3CD6CBAF">
            <w:pPr>
              <w:pStyle w:val="6"/>
              <w:spacing w:line="26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058B40">
            <w:pPr>
              <w:pStyle w:val="6"/>
              <w:spacing w:line="26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01D7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DA515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05E132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FC501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A306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D648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16" w:hRule="atLeast"/>
        </w:trPr>
        <w:tc>
          <w:tcPr>
            <w:tcW w:w="359" w:type="dxa"/>
          </w:tcPr>
          <w:p w14:paraId="5C03B52E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67" w:type="dxa"/>
          </w:tcPr>
          <w:p w14:paraId="255E46CD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418" w:type="dxa"/>
          </w:tcPr>
          <w:p w14:paraId="6513D5DD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города Лыткарино </w:t>
            </w:r>
          </w:p>
        </w:tc>
        <w:tc>
          <w:tcPr>
            <w:tcW w:w="2126" w:type="dxa"/>
          </w:tcPr>
          <w:p w14:paraId="462C0F67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1 16 07010 04 0000 140</w:t>
            </w:r>
          </w:p>
        </w:tc>
        <w:tc>
          <w:tcPr>
            <w:tcW w:w="1701" w:type="dxa"/>
          </w:tcPr>
          <w:p w14:paraId="142DCB5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уплаченн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случае просрочки исполнения поставщиком (подрядчиком, исполнителем) обязательств, предусмотренных муниципальным  контрактом, заключенным муниципальным органом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казенным учреждением городского округа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00A3BF0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усреднения</w:t>
            </w:r>
          </w:p>
        </w:tc>
        <w:tc>
          <w:tcPr>
            <w:tcW w:w="2126" w:type="dxa"/>
          </w:tcPr>
          <w:p w14:paraId="142A4F23">
            <w:pPr>
              <w:pStyle w:val="6"/>
              <w:ind w:right="-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11"/>
                <w:sz w:val="20"/>
                <w:szCs w:val="20"/>
              </w:rPr>
              <w:t xml:space="preserve">ПП=(П1+П2+П3)/3 ± </w:t>
            </w:r>
            <w:r>
              <w:rPr>
                <w:rFonts w:ascii="Times New Roman" w:hAnsi="Times New Roman" w:cs="Times New Roman"/>
                <w:position w:val="-11"/>
                <w:sz w:val="20"/>
                <w:szCs w:val="20"/>
                <w:lang w:val="en-US"/>
              </w:rPr>
              <w:t>Z</w:t>
            </w:r>
          </w:p>
        </w:tc>
        <w:tc>
          <w:tcPr>
            <w:tcW w:w="2694" w:type="dxa"/>
          </w:tcPr>
          <w:p w14:paraId="0CF1339B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Расчет прогнозного объема поступлений указанных доходов в силу их нерегулярного характера производится по результатам анализа объема фактических поступлений доходов не менее чем за 3 года</w:t>
            </w:r>
          </w:p>
        </w:tc>
        <w:tc>
          <w:tcPr>
            <w:tcW w:w="3327" w:type="dxa"/>
          </w:tcPr>
          <w:p w14:paraId="633D6FB7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прогнозируемые поступления по доходному источнику, тыс. руб.;</w:t>
            </w:r>
          </w:p>
          <w:p w14:paraId="55F7BAF5">
            <w:pPr>
              <w:pStyle w:val="6"/>
              <w:ind w:right="-62"/>
              <w:rPr>
                <w:rFonts w:ascii="Times New Roman" w:hAnsi="Times New Roman" w:cs="Times New Roman"/>
                <w:position w:val="-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11"/>
                <w:sz w:val="20"/>
                <w:szCs w:val="20"/>
              </w:rPr>
              <w:t>П1, П2, П3</w:t>
            </w:r>
            <w:r>
              <w:rPr>
                <w:rFonts w:ascii="Times New Roman" w:hAnsi="Times New Roman" w:cs="Times New Roman"/>
                <w:position w:val="-11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position w:val="-11"/>
                <w:sz w:val="20"/>
                <w:szCs w:val="20"/>
              </w:rPr>
              <w:t>фактически поступившие доходы в отчетном году и за два года, предшествующих отчетному, тыс.руб.;</w:t>
            </w:r>
          </w:p>
          <w:p w14:paraId="78DAE549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3 - фактическое число лет в выбранном периоде усреднения;</w:t>
            </w:r>
          </w:p>
          <w:p w14:paraId="40F0472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 - корректирующая сумма поступлений (увеличение или уменьшение прогноза поступления доходов), включающая:</w:t>
            </w:r>
          </w:p>
          <w:p w14:paraId="0B1A6725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разовые факторы (при наличии) - единовременные суммы поступлений, возникшие в течение определенного года, влияющие на сумму прогнозируемых поступлений, тыс.руб.;</w:t>
            </w:r>
          </w:p>
          <w:p w14:paraId="21B94AD6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оценку ожидаемых результатов работы по взысканию дебиторской задолженности по доходам, получаемой на основании данных о планирующемся зачислении (при наличии), тыс.руб. </w:t>
            </w:r>
          </w:p>
          <w:p w14:paraId="0983D37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формировании уточненного прогноза доходов на текущий финансовый год прогнозирование осуществляется с учетом фактического поступления доходов за истекший период текущего года, а также оценки поступлений доходов до конца года.</w:t>
            </w:r>
          </w:p>
          <w:p w14:paraId="2703ABEE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данных:</w:t>
            </w:r>
          </w:p>
          <w:p w14:paraId="6CB7BB1D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(ф. 05031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</w:tr>
      <w:tr w14:paraId="3E510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998" w:hRule="atLeast"/>
        </w:trPr>
        <w:tc>
          <w:tcPr>
            <w:tcW w:w="359" w:type="dxa"/>
          </w:tcPr>
          <w:p w14:paraId="697FB1D7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67" w:type="dxa"/>
          </w:tcPr>
          <w:p w14:paraId="7CF4191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418" w:type="dxa"/>
          </w:tcPr>
          <w:p w14:paraId="013578B7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города Лыткарино </w:t>
            </w:r>
          </w:p>
        </w:tc>
        <w:tc>
          <w:tcPr>
            <w:tcW w:w="2126" w:type="dxa"/>
          </w:tcPr>
          <w:p w14:paraId="7C92C360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1 17 01040 04 0000 180</w:t>
            </w:r>
          </w:p>
        </w:tc>
        <w:tc>
          <w:tcPr>
            <w:tcW w:w="1701" w:type="dxa"/>
          </w:tcPr>
          <w:p w14:paraId="1031CE6E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134" w:type="dxa"/>
          </w:tcPr>
          <w:p w14:paraId="10B2BAD6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974152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F71444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данному виду дохода методика прогнозирования не применяется, в связи с тем, что после поступления дохода по коду бюджетной классификации дохода «Невыясненные поступления, зачисляемые в бюджеты городских округов» код дохода уточняется для отнесения суммы поступившего дохода на соответствующий код классификации либо плательщику возвращается ошибочно зачисленный платеж</w:t>
            </w:r>
          </w:p>
        </w:tc>
        <w:tc>
          <w:tcPr>
            <w:tcW w:w="3327" w:type="dxa"/>
          </w:tcPr>
          <w:p w14:paraId="38BD5B4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F793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675F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7BAF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4C93D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города Лыткарино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5779D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2 08 04000 04 0000 150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E70FD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14:paraId="04802ED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C8E5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42BB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3399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данному виду дохода методика прогнозирования не применяется, в связи с тем, что данный код используется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  <w:p w14:paraId="5FAF7D37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(код подкрепления)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1BA0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971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7C489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E46C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00B95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города Лыткарино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09C6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2 08 10000 04 0000 150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6D0B8">
            <w:pPr>
              <w:pStyle w:val="6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Перечисления из бюджетов городских округов (в бюджеты городских округов) для осуществления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взыскания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6A238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493C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28FCD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данному виду дохода методика прогнозирования не применяется, в связи с тем, что данный код используется  для осуществления взыскания </w:t>
            </w:r>
          </w:p>
          <w:p w14:paraId="64816787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(код подкрепления)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BDA31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1AB5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E2859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9EB3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DA390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города Лыткарино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0FBC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2 02 15001 04 0000 150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40F4B">
            <w:pPr>
              <w:pStyle w:val="6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Дотации бюджетам городских округов  на выравнивание бюджетной обеспеченности из бюджета субъекта Российской Федерации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A7BB6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B467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92415">
            <w:pPr>
              <w:pStyle w:val="6"/>
              <w:ind w:right="-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Прогнозирование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дохода осуществляется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распределением средств по данному коду классификации  из бюджета Московской области на основании Закона (проекта закона) Московской области о бюджете Московской области на очередной финансовый год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плановый период.</w:t>
            </w:r>
          </w:p>
          <w:p w14:paraId="4585B251">
            <w:pPr>
              <w:pStyle w:val="6"/>
              <w:ind w:right="-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808D8">
            <w:pPr>
              <w:pStyle w:val="6"/>
              <w:ind w:right="-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2E1F6">
            <w:pPr>
              <w:pStyle w:val="6"/>
              <w:ind w:right="-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4E7274">
            <w:pPr>
              <w:pStyle w:val="6"/>
              <w:ind w:right="-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F9585B">
            <w:pPr>
              <w:pStyle w:val="6"/>
              <w:ind w:right="-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E237D3">
            <w:pPr>
              <w:pStyle w:val="6"/>
              <w:ind w:right="-2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9507D5">
            <w:pPr>
              <w:pStyle w:val="6"/>
              <w:ind w:right="-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79E45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502FD4"/>
    <w:sectPr>
      <w:pgSz w:w="16838" w:h="11905" w:orient="landscape"/>
      <w:pgMar w:top="851" w:right="539" w:bottom="567" w:left="1134" w:header="0" w:footer="0" w:gutter="0"/>
      <w:cols w:space="720" w:num="1"/>
      <w:titlePg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926"/>
    <w:rsid w:val="0000103D"/>
    <w:rsid w:val="00002589"/>
    <w:rsid w:val="00023716"/>
    <w:rsid w:val="00040926"/>
    <w:rsid w:val="000738D3"/>
    <w:rsid w:val="0013334B"/>
    <w:rsid w:val="001643F4"/>
    <w:rsid w:val="001B5F74"/>
    <w:rsid w:val="001D486F"/>
    <w:rsid w:val="002459E2"/>
    <w:rsid w:val="0030634C"/>
    <w:rsid w:val="003368E9"/>
    <w:rsid w:val="00364A1E"/>
    <w:rsid w:val="00377921"/>
    <w:rsid w:val="003949A6"/>
    <w:rsid w:val="003D71F0"/>
    <w:rsid w:val="003F3194"/>
    <w:rsid w:val="0043248F"/>
    <w:rsid w:val="004474A2"/>
    <w:rsid w:val="00453DCE"/>
    <w:rsid w:val="004B5A2C"/>
    <w:rsid w:val="004B6391"/>
    <w:rsid w:val="004D36D6"/>
    <w:rsid w:val="005A6E08"/>
    <w:rsid w:val="005F4979"/>
    <w:rsid w:val="00634293"/>
    <w:rsid w:val="00653F41"/>
    <w:rsid w:val="00686BF9"/>
    <w:rsid w:val="0076625C"/>
    <w:rsid w:val="00774F98"/>
    <w:rsid w:val="007D727E"/>
    <w:rsid w:val="0087613B"/>
    <w:rsid w:val="00936D7C"/>
    <w:rsid w:val="009B42C4"/>
    <w:rsid w:val="00A633D0"/>
    <w:rsid w:val="00A94EBA"/>
    <w:rsid w:val="00AB4BA3"/>
    <w:rsid w:val="00B018BD"/>
    <w:rsid w:val="00B45AF9"/>
    <w:rsid w:val="00C044C6"/>
    <w:rsid w:val="00C518B5"/>
    <w:rsid w:val="00C644CC"/>
    <w:rsid w:val="00CB415E"/>
    <w:rsid w:val="00CE6D30"/>
    <w:rsid w:val="00D3685B"/>
    <w:rsid w:val="00D430B7"/>
    <w:rsid w:val="00D67423"/>
    <w:rsid w:val="00E85778"/>
    <w:rsid w:val="00ED6934"/>
    <w:rsid w:val="00EF3340"/>
    <w:rsid w:val="00F11998"/>
    <w:rsid w:val="00F1374B"/>
    <w:rsid w:val="00FB4509"/>
    <w:rsid w:val="48950C76"/>
    <w:rsid w:val="5C60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6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cs="Calibri" w:eastAsiaTheme="minorEastAsia"/>
      <w:sz w:val="22"/>
      <w:szCs w:val="22"/>
      <w:lang w:val="ru-RU" w:eastAsia="ru-RU" w:bidi="ar-SA"/>
    </w:rPr>
  </w:style>
  <w:style w:type="paragraph" w:customStyle="1" w:styleId="7">
    <w:name w:val="ConsPlusNonformat"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 w:eastAsiaTheme="minorEastAsia"/>
      <w:sz w:val="20"/>
      <w:szCs w:val="22"/>
      <w:lang w:val="ru-RU" w:eastAsia="ru-RU" w:bidi="ar-SA"/>
    </w:rPr>
  </w:style>
  <w:style w:type="paragraph" w:customStyle="1" w:styleId="8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cs="Calibri" w:eastAsiaTheme="minorEastAsia"/>
      <w:b/>
      <w:sz w:val="22"/>
      <w:szCs w:val="22"/>
      <w:lang w:val="ru-RU" w:eastAsia="ru-RU" w:bidi="ar-SA"/>
    </w:rPr>
  </w:style>
  <w:style w:type="paragraph" w:customStyle="1" w:styleId="9">
    <w:name w:val="ConsPlusCell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 w:eastAsiaTheme="minorEastAsia"/>
      <w:sz w:val="20"/>
      <w:szCs w:val="22"/>
      <w:lang w:val="ru-RU" w:eastAsia="ru-RU" w:bidi="ar-SA"/>
    </w:rPr>
  </w:style>
  <w:style w:type="paragraph" w:customStyle="1" w:styleId="10">
    <w:name w:val="ConsPlusDocList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cs="Calibri" w:eastAsiaTheme="minorEastAsia"/>
      <w:sz w:val="22"/>
      <w:szCs w:val="22"/>
      <w:lang w:val="ru-RU" w:eastAsia="ru-RU" w:bidi="ar-SA"/>
    </w:rPr>
  </w:style>
  <w:style w:type="paragraph" w:customStyle="1" w:styleId="11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cs="Tahoma" w:eastAsiaTheme="minorEastAsia"/>
      <w:sz w:val="20"/>
      <w:szCs w:val="22"/>
      <w:lang w:val="ru-RU" w:eastAsia="ru-RU" w:bidi="ar-SA"/>
    </w:rPr>
  </w:style>
  <w:style w:type="paragraph" w:customStyle="1" w:styleId="12">
    <w:name w:val="ConsPlusJurTerm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cs="Tahoma" w:eastAsiaTheme="minorEastAsia"/>
      <w:sz w:val="26"/>
      <w:szCs w:val="22"/>
      <w:lang w:val="ru-RU" w:eastAsia="ru-RU" w:bidi="ar-SA"/>
    </w:rPr>
  </w:style>
  <w:style w:type="paragraph" w:customStyle="1" w:styleId="13">
    <w:name w:val="ConsPlusTextList"/>
    <w:qFormat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sz w:val="20"/>
      <w:szCs w:val="22"/>
      <w:lang w:val="ru-RU" w:eastAsia="ru-RU" w:bidi="ar-SA"/>
    </w:rPr>
  </w:style>
  <w:style w:type="character" w:customStyle="1" w:styleId="14">
    <w:name w:val="Текст выноски Знак"/>
    <w:basedOn w:val="2"/>
    <w:link w:val="5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Krokoz™</Company>
  <Pages>6</Pages>
  <Words>1061</Words>
  <Characters>7649</Characters>
  <Lines>67</Lines>
  <Paragraphs>19</Paragraphs>
  <TotalTime>84</TotalTime>
  <ScaleCrop>false</ScaleCrop>
  <LinksUpToDate>false</LinksUpToDate>
  <CharactersWithSpaces>8677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2025-11-10T14:35:00Z</dcterms:created>
  <dc:creator>Архипова Наталья Петровна</dc:creator>
  <cp:lastModifiedBy>WPS_1781171377</cp:lastModifiedBy>
  <cp:lastPrinted>2025-11-11T08:56:00Z</cp:lastPrinted>
  <dcterms:modified xsi:type="dcterms:W3CDTF">2026-10-30T09:09:06Z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eyJoZGlkIjoiMjFmNWNjZjJmYzlmNWExZTgwNDBhNzBjOWQ3YjRiZjciLCJ1c2VySWQiOiI4MjQ2MzYwODA3MTkifQ==</vt:lpwstr>
  </property>
  <property fmtid="{D5CDD505-2E9C-101B-9397-08002B2CF9AE}" pid="3" name="KSOProductBuildVer">
    <vt:lpwstr>1049-12.1.0.29681</vt:lpwstr>
  </property>
  <property fmtid="{D5CDD505-2E9C-101B-9397-08002B2CF9AE}" pid="4" name="ICV">
    <vt:lpwstr>4EA208CB95294660A60C1FF27060AB73_12</vt:lpwstr>
  </property>
</Properties>
</file>