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ДЛЯ СУБЪЕКТОВ МАЛОГО И СРЕДНЕГО ПРЕДПРИНИМАТЕЛЬСТВА № </w:t>
      </w:r>
      <w:r>
        <w:rPr>
          <w:b w:val="0"/>
          <w:bCs w:val="0"/>
          <w:color w:val="auto"/>
          <w:sz w:val="20"/>
          <w:szCs w:val="20"/>
          <w:lang w:eastAsia="ru-RU"/>
        </w:rPr>
        <w:t>АЗЭ-ЛЫТ/23-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2050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находящегося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 муниципальной собственности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Производственная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деятельность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Сводного заключения Министерства имущественных отношений Московской области от 20.06.2023 №110-З п. 181;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23.06.2023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</w:t>
      </w:r>
      <w:bookmarkStart w:id="4" w:name="_GoBack"/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361-п);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35_520497706"/>
      <w:bookmarkEnd w:id="1"/>
      <w:bookmarkStart w:id="2" w:name="__RefHeading__50_1698952488"/>
      <w:bookmarkEnd w:id="2"/>
      <w:bookmarkStart w:id="3" w:name="__RefHeading__48_1698952488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находящегося в муниципальной собственности: Г.о. Лыткарино, расположенного на территории: Г.о.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b/>
          <w:bCs/>
          <w:sz w:val="20"/>
          <w:szCs w:val="20"/>
          <w:highlight w:val="none"/>
        </w:rPr>
        <w:t xml:space="preserve">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  <w:highlight w:val="none"/>
        </w:rPr>
        <w:t xml:space="preserve">- 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>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sz w:val="20"/>
          <w:szCs w:val="20"/>
          <w:highlight w:val="none"/>
        </w:rPr>
      </w:pPr>
      <w:r>
        <w:rPr>
          <w:b/>
          <w:sz w:val="20"/>
          <w:szCs w:val="20"/>
          <w:highlight w:val="none"/>
        </w:rPr>
        <w:t xml:space="preserve">Наименование: </w:t>
      </w:r>
      <w:r>
        <w:rPr>
          <w:b/>
          <w:iCs/>
          <w:sz w:val="20"/>
          <w:szCs w:val="20"/>
          <w:highlight w:val="none"/>
        </w:rPr>
        <w:t>Комитет по конкурентной политике Московской области.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Адрес: 143407, Московская область, г. Красногорск, бульвар Строителей, д. 1.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Сайт: www.zakaz-mo.mosreg.ru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0"/>
          <w:szCs w:val="20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0"/>
          <w:szCs w:val="20"/>
          <w:lang w:eastAsia="ru-RU"/>
        </w:rPr>
        <w:t xml:space="preserve">www.torgi.gov.ru </w:t>
      </w:r>
      <w:r>
        <w:rPr>
          <w:sz w:val="20"/>
          <w:szCs w:val="20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0"/>
          <w:szCs w:val="20"/>
          <w:lang w:eastAsia="ru-RU"/>
        </w:rPr>
        <w:t xml:space="preserve">easuz.mosreg.ru/torgi </w:t>
      </w:r>
      <w:r>
        <w:rPr>
          <w:sz w:val="20"/>
          <w:szCs w:val="20"/>
        </w:rPr>
        <w:t>(далее – Портал ЕАСУЗ), на электронной площадке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"http://www.rts-tender.ru" </w:instrText>
      </w:r>
      <w:r>
        <w:rPr>
          <w:sz w:val="20"/>
          <w:szCs w:val="20"/>
        </w:rPr>
        <w:fldChar w:fldCharType="separate"/>
      </w:r>
      <w:r>
        <w:rPr>
          <w:b/>
          <w:sz w:val="20"/>
          <w:szCs w:val="20"/>
        </w:rPr>
        <w:t>www.rts-tender.ru</w:t>
      </w:r>
      <w:r>
        <w:rPr>
          <w:b/>
          <w:sz w:val="20"/>
          <w:szCs w:val="20"/>
        </w:rPr>
        <w:fldChar w:fldCharType="end"/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(далее – электронная площадка)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в соответствии с действующим законодательством</w:t>
      </w:r>
      <w:r>
        <w:rPr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Наименование: Государственное казенное учреждение Московской области «Региональный центр торгов»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Адрес: 143407, Московская область, г. Красногорск, бульвар Строителей, д. 7.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</w:rPr>
        <w:instrText xml:space="preserve"> HYPERLINK "mailto:rct_torgi@mosreg.ru" </w:instrTex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</w:rPr>
        <w:t>rct_torgi@mosreg.ru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en-US"/>
        </w:rPr>
        <w:t>Оператор электронной площадки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Местоположение (адрес): Российская Федерация, Московская область, городской округ Лыткарино, г. Лыткарино, тер. Детский городок ЗИЛ.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Площадь, кв. м: 48 588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50:53:0020202:589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Вид разрешенного использования: Производственная деятельность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Сведения о правах на Земельный участок: находится в муниципальной собственности: Г.о. Лыткарино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земельный участок расположен в границах приаэродромных территорий: Остафьево Приаэродромная территория аэродрома: 48588 кв.м; «Раменское» Полосы воздушных подходов аэродрома экспериментальной авиации: 48588 кв.м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 Ограничения прав на земельный участок, предусмотренные ст. 56 Земельного кодекса Российской Федерации: 50:53-6.6: Приаэродромная территория аэродрома Москва (Домодедово).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земельный участок частично расположен в санитарно-защитной зоне проектируемого предприятия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ООО «ЕВРОПРОДУКТ»;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 земельный участок полностью расположен в санитарно-защитной зоне для проектируемого мясоперерабатывающего завода ООО «Мясная мануфактура Лыткарино»;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земельный участок частично расположен в границах образуемых частей земельных участков для размещения линейных объектов, подлежащих переносу (переустройству) из зон планируемого размещения линейных объектов: 50:53:0020202:136:ЧЗУ1, площадь 168 кв.м.(строительство воздушной ЛЭП 0,4 кВ);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№ 50:53:0020202:136:ЧЗУ2, площадь 3961 кв.м. (перенос канализации и водопровода, строительство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ЛЭП 0,4 кВ).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На образуемые части земельных участков для размещения линейных объектов будут установлены зоны действия сервитутов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Для Земельного участка обеспечен доступ посредством земельного участка с кадастровым номером 50:53:0020202:138.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Размещение объекта капитального строительства согласовывается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, Градостроительном плане Земельного участка.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lang w:val="ru-RU"/>
        </w:rPr>
        <w:t xml:space="preserve">: </w:t>
      </w:r>
      <w:r>
        <w:rPr>
          <w:b w:val="0"/>
          <w:bCs w:val="0"/>
          <w:color w:val="auto"/>
          <w:sz w:val="20"/>
          <w:szCs w:val="20"/>
          <w:highlight w:val="none"/>
          <w:lang w:val="ru-RU"/>
        </w:rPr>
        <w:t>содержится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в приложении.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Начальная цена предмета аукциона: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10070154,53 руб. (Десять миллионов семьдесят тысяч сто пятьдесят четыре руб. 53 коп.),НДС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«Шаг аукциона»: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302104,00 руб. (Триста две тысячи сто четыре руб. 00 коп.)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>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Размер задатка для участия в аукционе: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 2014030,91 руб. (Два миллиона четырнадцать тысяч тридцать руб. 91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13 лет 2 месяца.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0"/>
          <w:szCs w:val="20"/>
          <w:lang w:eastAsia="ru-RU"/>
        </w:rPr>
        <w:t>www.</w:t>
      </w:r>
      <w:r>
        <w:rPr>
          <w:b/>
          <w:bCs/>
          <w:color w:val="auto"/>
          <w:sz w:val="20"/>
          <w:szCs w:val="20"/>
          <w:lang w:eastAsia="ru-RU"/>
        </w:rPr>
        <w:t>rts-tender.ru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27.06</w:t>
      </w:r>
      <w:r>
        <w:rPr>
          <w:b w:val="0"/>
          <w:bCs w:val="0"/>
          <w:color w:val="auto"/>
          <w:sz w:val="20"/>
          <w:szCs w:val="20"/>
        </w:rPr>
        <w:t>.2023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0"/>
          <w:szCs w:val="20"/>
          <w:lang w:val="ru-RU"/>
        </w:rPr>
        <w:t>31.07.</w:t>
      </w:r>
      <w:r>
        <w:rPr>
          <w:rFonts w:ascii="Times New Roman" w:hAnsi="Times New Roman" w:eastAsia="Times New Roman" w:cs="Times New Roman"/>
          <w:b w:val="0"/>
          <w:bCs/>
          <w:color w:val="auto"/>
          <w:sz w:val="20"/>
          <w:szCs w:val="20"/>
        </w:rPr>
        <w:t>.20</w:t>
      </w:r>
      <w:r>
        <w:rPr>
          <w:b w:val="0"/>
          <w:bCs/>
          <w:color w:val="auto"/>
          <w:sz w:val="20"/>
          <w:szCs w:val="20"/>
        </w:rPr>
        <w:t>23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02.08</w:t>
      </w:r>
      <w:r>
        <w:rPr>
          <w:b w:val="0"/>
          <w:bCs w:val="0"/>
          <w:color w:val="auto"/>
          <w:sz w:val="20"/>
          <w:szCs w:val="20"/>
        </w:rPr>
        <w:t>.2023.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03.08.</w:t>
      </w:r>
      <w:r>
        <w:rPr>
          <w:b w:val="0"/>
          <w:bCs/>
          <w:color w:val="auto"/>
          <w:sz w:val="20"/>
          <w:szCs w:val="20"/>
          <w:highlight w:val="none"/>
        </w:rPr>
        <w:t>2023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6251),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3739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94A4991"/>
    <w:rsid w:val="5A2E1DFB"/>
    <w:rsid w:val="5D8A1F53"/>
    <w:rsid w:val="5E1A2514"/>
    <w:rsid w:val="5EC25271"/>
    <w:rsid w:val="63EA38FA"/>
    <w:rsid w:val="65AF6E26"/>
    <w:rsid w:val="669F1A20"/>
    <w:rsid w:val="67C1705F"/>
    <w:rsid w:val="69F9530B"/>
    <w:rsid w:val="6F871496"/>
    <w:rsid w:val="6FD5083E"/>
    <w:rsid w:val="715B0372"/>
    <w:rsid w:val="716B47A3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2023-06-28T05:23:27Z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