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A4411D" w:rsidP="00BF2D9E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10.08.2023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475-п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6A3B1A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рации, </w:t>
      </w:r>
      <w:r w:rsidR="00F03D83" w:rsidRPr="00F03D83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15.12.2022 №286/5 «Об утверждении бюджета городского округа Лыткарино на 2023 год и на плановый период 2024 и 2025 годов» (в редакции решения Совета депутатов городского округа Лыткарино 27.07.2023 №366/44),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Положением о муниципальных программах городского округа Лыткарино, утверждённым постановлением главы городского округа Лыткарино</w:t>
      </w:r>
      <w:proofErr w:type="gramEnd"/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от 02.11.2020 № 548-п, и с учётом заключения Контрольной счётной палаты городского округа Лыткарино Московской области по результатам проведен</w:t>
      </w:r>
      <w:r w:rsidR="007246A2">
        <w:rPr>
          <w:rFonts w:eastAsia="Times New Roman" w:cs="Times New Roman"/>
          <w:color w:val="000000" w:themeColor="text1"/>
          <w:szCs w:val="28"/>
          <w:lang w:eastAsia="ru-RU"/>
        </w:rPr>
        <w:t>ия экспертизы от 07.08</w:t>
      </w:r>
      <w:r w:rsidR="001A3354" w:rsidRPr="006A3B1A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DE1080" w:rsidRPr="006A3B1A">
        <w:rPr>
          <w:rFonts w:eastAsia="Times New Roman" w:cs="Times New Roman"/>
          <w:color w:val="000000" w:themeColor="text1"/>
          <w:szCs w:val="28"/>
          <w:lang w:eastAsia="ru-RU"/>
        </w:rPr>
        <w:t>2023</w:t>
      </w:r>
      <w:r w:rsidR="007246A2">
        <w:rPr>
          <w:rFonts w:eastAsia="Times New Roman" w:cs="Times New Roman"/>
          <w:color w:val="000000" w:themeColor="text1"/>
          <w:szCs w:val="28"/>
          <w:lang w:eastAsia="ru-RU"/>
        </w:rPr>
        <w:t xml:space="preserve"> №61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BB7880" w:rsidRPr="00B479BE" w:rsidRDefault="00A50B41" w:rsidP="00A4411D">
      <w:pPr>
        <w:pStyle w:val="ConsPlusTitle"/>
        <w:jc w:val="right"/>
        <w:outlineLvl w:val="0"/>
        <w:rPr>
          <w:color w:val="FF0000"/>
          <w:sz w:val="18"/>
          <w:szCs w:val="18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</w:pP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 xml:space="preserve">от </w:t>
      </w:r>
      <w:r w:rsidR="00A4411D">
        <w:rPr>
          <w:color w:val="000000" w:themeColor="text1"/>
          <w:sz w:val="20"/>
          <w:szCs w:val="18"/>
        </w:rPr>
        <w:t xml:space="preserve">10.08.2023 </w:t>
      </w:r>
      <w:r w:rsidRPr="00C968E3">
        <w:rPr>
          <w:color w:val="000000" w:themeColor="text1"/>
          <w:sz w:val="20"/>
          <w:szCs w:val="18"/>
        </w:rPr>
        <w:t xml:space="preserve">№ </w:t>
      </w:r>
      <w:r w:rsidR="00A4411D">
        <w:rPr>
          <w:color w:val="000000" w:themeColor="text1"/>
          <w:sz w:val="20"/>
          <w:szCs w:val="18"/>
        </w:rPr>
        <w:t>475-п</w:t>
      </w:r>
      <w:bookmarkStart w:id="0" w:name="_GoBack"/>
      <w:bookmarkEnd w:id="0"/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15" w:rsidRDefault="007A2DB2" w:rsidP="008B0015">
      <w:pPr>
        <w:jc w:val="center"/>
        <w:rPr>
          <w:b/>
          <w:color w:val="000000" w:themeColor="text1"/>
          <w:sz w:val="22"/>
          <w:szCs w:val="18"/>
        </w:rPr>
      </w:pPr>
      <w:r>
        <w:rPr>
          <w:b/>
          <w:color w:val="000000" w:themeColor="text1"/>
          <w:sz w:val="22"/>
          <w:szCs w:val="18"/>
        </w:rPr>
        <w:t xml:space="preserve">Изменения в муниципальную программу </w:t>
      </w:r>
      <w:r w:rsidRPr="007A2DB2">
        <w:rPr>
          <w:b/>
          <w:color w:val="000000" w:themeColor="text1"/>
          <w:sz w:val="22"/>
          <w:szCs w:val="18"/>
        </w:rPr>
        <w:t>«Управление имуществом и муниципальными финансами» на 2023 – 2027 годы</w:t>
      </w:r>
    </w:p>
    <w:p w:rsidR="007A2DB2" w:rsidRDefault="007A2DB2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7A2DB2" w:rsidRPr="007A2DB2" w:rsidRDefault="007A2DB2" w:rsidP="00F21B1E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 w:rsidR="00B93212">
        <w:rPr>
          <w:color w:val="000000" w:themeColor="text1"/>
          <w:sz w:val="22"/>
          <w:szCs w:val="18"/>
        </w:rPr>
        <w:t>изложить в следующей</w:t>
      </w:r>
      <w:r>
        <w:rPr>
          <w:color w:val="000000" w:themeColor="text1"/>
          <w:sz w:val="22"/>
          <w:szCs w:val="18"/>
        </w:rPr>
        <w:t xml:space="preserve"> редакции:</w:t>
      </w:r>
    </w:p>
    <w:p w:rsidR="007A2DB2" w:rsidRDefault="007A2DB2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</w:p>
    <w:p w:rsidR="008B0015" w:rsidRPr="00C968E3" w:rsidRDefault="007A2DB2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C968E3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C968E3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C968E3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C968E3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C968E3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C968E3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c>
          <w:tcPr>
            <w:tcW w:w="2802" w:type="dxa"/>
          </w:tcPr>
          <w:p w:rsidR="008B0015" w:rsidRPr="00C968E3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C968E3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C968E3" w:rsidTr="00EA5411">
        <w:trPr>
          <w:trHeight w:val="514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C968E3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C968E3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C968E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C968E3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C968E3" w:rsidTr="00EA5411">
        <w:tc>
          <w:tcPr>
            <w:tcW w:w="2802" w:type="dxa"/>
            <w:vMerge w:val="restart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C968E3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8B0861" w:rsidRPr="00C968E3" w:rsidTr="00EA5411">
        <w:trPr>
          <w:trHeight w:val="208"/>
        </w:trPr>
        <w:tc>
          <w:tcPr>
            <w:tcW w:w="2802" w:type="dxa"/>
            <w:vMerge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C968E3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968E3" w:rsidRPr="00C968E3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C968E3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C968E3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68E3" w:rsidRPr="00C968E3" w:rsidTr="00B479BE">
        <w:tc>
          <w:tcPr>
            <w:tcW w:w="2802" w:type="dxa"/>
            <w:tcBorders>
              <w:bottom w:val="nil"/>
            </w:tcBorders>
          </w:tcPr>
          <w:p w:rsidR="0096625B" w:rsidRPr="00C968E3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B479BE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1 320 452,6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B479BE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299 591,7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C968E3" w:rsidRPr="00C968E3" w:rsidTr="00B479BE">
        <w:tc>
          <w:tcPr>
            <w:tcW w:w="2802" w:type="dxa"/>
            <w:tcBorders>
              <w:top w:val="nil"/>
            </w:tcBorders>
          </w:tcPr>
          <w:p w:rsidR="0096625B" w:rsidRPr="00C968E3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B479BE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1 323 545,6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B479BE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300 622,</w:t>
            </w:r>
            <w:r w:rsidR="006C28C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0E29D2" w:rsidRDefault="000E29D2" w:rsidP="000E29D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F21B1E" w:rsidRPr="00F21B1E" w:rsidRDefault="00F21B1E" w:rsidP="00F21B1E">
      <w:pPr>
        <w:widowControl w:val="0"/>
        <w:jc w:val="both"/>
        <w:rPr>
          <w:color w:val="000000" w:themeColor="text1"/>
          <w:sz w:val="22"/>
        </w:rPr>
      </w:pPr>
      <w:r w:rsidRPr="00F21B1E">
        <w:rPr>
          <w:color w:val="000000" w:themeColor="text1"/>
          <w:sz w:val="22"/>
        </w:rPr>
        <w:t>2. Планируемые результаты реализации муниципальной программы «Управление имуществом и муниципальными финансами» на 2023 – 2027 годы изложить в следующей редакции:</w:t>
      </w:r>
    </w:p>
    <w:p w:rsidR="00F21B1E" w:rsidRDefault="00F21B1E" w:rsidP="005008EB">
      <w:pPr>
        <w:widowControl w:val="0"/>
        <w:rPr>
          <w:b/>
          <w:color w:val="000000" w:themeColor="text1"/>
          <w:sz w:val="22"/>
        </w:rPr>
      </w:pPr>
    </w:p>
    <w:p w:rsidR="00454C26" w:rsidRPr="00113C50" w:rsidRDefault="00F21B1E" w:rsidP="005008EB">
      <w:pPr>
        <w:widowControl w:val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«</w:t>
      </w:r>
      <w:r w:rsidR="00454C26" w:rsidRPr="00113C50">
        <w:rPr>
          <w:b/>
          <w:color w:val="000000" w:themeColor="text1"/>
          <w:sz w:val="22"/>
        </w:rPr>
        <w:t>Планируемые результаты реализации муниципальной программы «Управление имуществом и м</w:t>
      </w:r>
      <w:r w:rsidR="00105A86" w:rsidRPr="00113C50">
        <w:rPr>
          <w:b/>
          <w:color w:val="000000" w:themeColor="text1"/>
          <w:sz w:val="22"/>
        </w:rPr>
        <w:t>униципальными финансами» на 2023 – 2027</w:t>
      </w:r>
      <w:r w:rsidR="00454C26" w:rsidRPr="00113C50">
        <w:rPr>
          <w:b/>
          <w:color w:val="000000" w:themeColor="text1"/>
          <w:sz w:val="22"/>
        </w:rPr>
        <w:t xml:space="preserve"> годы</w:t>
      </w:r>
    </w:p>
    <w:p w:rsidR="00454C26" w:rsidRPr="00113C50" w:rsidRDefault="00454C26" w:rsidP="00454C26">
      <w:pPr>
        <w:widowControl w:val="0"/>
        <w:rPr>
          <w:b/>
          <w:color w:val="000000" w:themeColor="text1"/>
          <w:sz w:val="20"/>
          <w:szCs w:val="20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CB3BF1" w:rsidRPr="00113C50" w:rsidTr="00CB3BF1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 xml:space="preserve">№ </w:t>
            </w:r>
          </w:p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113C50">
              <w:rPr>
                <w:rStyle w:val="a5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105A86" w:rsidRPr="00113C50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113C50" w:rsidRDefault="00105A86" w:rsidP="005B6816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Базовое значение п</w:t>
            </w:r>
            <w:r w:rsidR="00F90D09" w:rsidRPr="00113C50">
              <w:rPr>
                <w:color w:val="000000" w:themeColor="text1"/>
                <w:sz w:val="18"/>
                <w:szCs w:val="18"/>
              </w:rPr>
              <w:t xml:space="preserve">оказателя на начало реализации </w:t>
            </w:r>
            <w:r w:rsidRPr="00113C50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C636B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C636BD" w:rsidP="00C636B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C50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</w:t>
            </w:r>
            <w:r w:rsidR="00F90D09" w:rsidRPr="00113C50">
              <w:rPr>
                <w:rFonts w:cs="Times New Roman"/>
                <w:color w:val="000000" w:themeColor="text1"/>
                <w:sz w:val="16"/>
                <w:szCs w:val="16"/>
              </w:rPr>
              <w:t xml:space="preserve">аммы, мероприятий, оказывающих </w:t>
            </w:r>
            <w:r w:rsidRPr="00113C50">
              <w:rPr>
                <w:rFonts w:cs="Times New Roman"/>
                <w:color w:val="000000" w:themeColor="text1"/>
                <w:sz w:val="16"/>
                <w:szCs w:val="16"/>
              </w:rPr>
              <w:t>влияние на достижение показателя</w:t>
            </w:r>
            <w:r w:rsidRPr="00113C50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CB3BF1" w:rsidRPr="00113C50" w:rsidTr="00CB3BF1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105A86" w:rsidRPr="00113C50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113C50" w:rsidRDefault="00105A86" w:rsidP="005B6816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113C50" w:rsidTr="00CB3BF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FF7F83" w:rsidTr="00CB3BF1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86" w:rsidRPr="00FF7F83" w:rsidRDefault="00105A86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6" w:rsidRPr="00FF7F83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105A86" w:rsidRPr="00FF7F83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105A86" w:rsidRPr="00FF7F83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F1322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FF7F83" w:rsidRDefault="00C636BD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FF7F83" w:rsidTr="00CB3BF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F1322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F7F83" w:rsidTr="00CB3BF1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FF7F83" w:rsidTr="00CB3B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FF7F83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FF7F83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F7F83" w:rsidTr="00CB3BF1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C74C89" w:rsidRPr="00FF7F83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1322D" w:rsidTr="00CB3BF1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C74C89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1322D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9D5D5A" w:rsidRPr="009D5D5A" w:rsidTr="00CB3BF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D5D5A" w:rsidRDefault="00C74C89" w:rsidP="00B61DB4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5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9D5D5A" w:rsidRDefault="00C74C89" w:rsidP="00D60230">
            <w:pPr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 xml:space="preserve">Доля </w:t>
            </w:r>
            <w:r w:rsidR="009B59B1" w:rsidRPr="009D5D5A">
              <w:rPr>
                <w:color w:val="000000" w:themeColor="text1"/>
                <w:sz w:val="18"/>
                <w:szCs w:val="18"/>
              </w:rPr>
              <w:t>незарегистрированных</w:t>
            </w:r>
            <w:r w:rsidR="00D60230" w:rsidRPr="009D5D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D5D5A">
              <w:rPr>
                <w:color w:val="000000" w:themeColor="text1"/>
                <w:sz w:val="18"/>
                <w:szCs w:val="18"/>
              </w:rPr>
              <w:t xml:space="preserve">объектов недвижимого имущества, </w:t>
            </w:r>
            <w:r w:rsidR="009B59B1" w:rsidRPr="009D5D5A">
              <w:rPr>
                <w:color w:val="000000" w:themeColor="text1"/>
                <w:sz w:val="18"/>
                <w:szCs w:val="18"/>
              </w:rPr>
              <w:t>вовлечённых</w:t>
            </w:r>
            <w:r w:rsidR="00D60230" w:rsidRPr="009D5D5A">
              <w:rPr>
                <w:color w:val="000000" w:themeColor="text1"/>
                <w:sz w:val="18"/>
                <w:szCs w:val="18"/>
              </w:rPr>
              <w:t xml:space="preserve"> в налоговый оборот</w:t>
            </w:r>
            <w:r w:rsidR="009B59B1" w:rsidRPr="009D5D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D5D5A">
              <w:rPr>
                <w:color w:val="000000" w:themeColor="text1"/>
                <w:sz w:val="18"/>
                <w:szCs w:val="18"/>
              </w:rPr>
              <w:t>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9D5D5A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5D5A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9D5D5A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5D5A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9D5D5A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5D5A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9D5D5A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D5D5A" w:rsidRDefault="00591F83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D5D5A" w:rsidRDefault="00591F83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D5D5A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D5D5A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D5D5A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D5D5A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5D5A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D5D5A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9D5D5A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D5D5A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9D5D5A">
              <w:rPr>
                <w:color w:val="000000" w:themeColor="text1"/>
                <w:sz w:val="17"/>
                <w:szCs w:val="17"/>
              </w:rPr>
              <w:t>1.04.01</w:t>
            </w:r>
          </w:p>
          <w:p w:rsidR="00D60230" w:rsidRPr="009D5D5A" w:rsidRDefault="00D60230" w:rsidP="005B6816">
            <w:pPr>
              <w:rPr>
                <w:color w:val="000000" w:themeColor="text1"/>
                <w:sz w:val="17"/>
                <w:szCs w:val="17"/>
              </w:rPr>
            </w:pPr>
            <w:r w:rsidRPr="009D5D5A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F7F83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FF7F83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AC421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 w:rsidRPr="00FF7F83">
              <w:rPr>
                <w:color w:val="000000" w:themeColor="text1"/>
                <w:sz w:val="18"/>
                <w:szCs w:val="18"/>
              </w:rPr>
              <w:lastRenderedPageBreak/>
              <w:t>к общему количеству таких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lastRenderedPageBreak/>
              <w:t>Приоритетный целевой показатель</w:t>
            </w:r>
          </w:p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Государственная программа МО "Предпринимательство Подмосковья" на 2017-2024 годы"</w:t>
            </w:r>
          </w:p>
          <w:p w:rsidR="00C74C89" w:rsidRPr="00FF7F83" w:rsidRDefault="00C74C89" w:rsidP="006C2A3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lastRenderedPageBreak/>
              <w:t>Региональный проект «Улучше</w:t>
            </w:r>
            <w:r w:rsidR="00EA5411" w:rsidRPr="00FF7F83">
              <w:rPr>
                <w:color w:val="000000" w:themeColor="text1"/>
                <w:sz w:val="17"/>
                <w:szCs w:val="17"/>
              </w:rPr>
              <w:t>ние условий ведения предпринима</w:t>
            </w:r>
            <w:r w:rsidRPr="00FF7F83">
              <w:rPr>
                <w:color w:val="000000" w:themeColor="text1"/>
                <w:sz w:val="17"/>
                <w:szCs w:val="17"/>
              </w:rPr>
              <w:t>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1E" w:rsidRPr="00FF7F83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</w:t>
            </w:r>
          </w:p>
          <w:p w:rsidR="00AC421E" w:rsidRPr="00FF7F83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1.03.01</w:t>
            </w:r>
          </w:p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AD70D6" w:rsidTr="009B59B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5F56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B3BF1" w:rsidRPr="00FF7F83" w:rsidRDefault="00CB3BF1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AD70D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F1322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20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1.02.01.</w:t>
            </w:r>
          </w:p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1.02.03.</w:t>
            </w:r>
          </w:p>
          <w:p w:rsidR="00CB3BF1" w:rsidRPr="00AD70D6" w:rsidRDefault="00CB3BF1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1.03.01.</w:t>
            </w:r>
          </w:p>
        </w:tc>
      </w:tr>
    </w:tbl>
    <w:p w:rsidR="00454C26" w:rsidRDefault="00C70100" w:rsidP="00C70100">
      <w:pPr>
        <w:tabs>
          <w:tab w:val="left" w:pos="4140"/>
          <w:tab w:val="center" w:pos="7725"/>
        </w:tabs>
        <w:jc w:val="right"/>
        <w:rPr>
          <w:b/>
          <w:color w:val="000000" w:themeColor="text1"/>
          <w:sz w:val="22"/>
          <w:szCs w:val="20"/>
        </w:rPr>
      </w:pPr>
      <w:r w:rsidRPr="00C70100">
        <w:rPr>
          <w:b/>
          <w:color w:val="000000" w:themeColor="text1"/>
          <w:sz w:val="22"/>
          <w:szCs w:val="20"/>
        </w:rPr>
        <w:t>».</w:t>
      </w:r>
    </w:p>
    <w:p w:rsidR="00C70100" w:rsidRPr="00C70100" w:rsidRDefault="00C70100" w:rsidP="00C70100">
      <w:pPr>
        <w:tabs>
          <w:tab w:val="left" w:pos="4140"/>
          <w:tab w:val="center" w:pos="7725"/>
        </w:tabs>
        <w:jc w:val="right"/>
        <w:rPr>
          <w:b/>
          <w:color w:val="000000" w:themeColor="text1"/>
          <w:sz w:val="22"/>
          <w:szCs w:val="20"/>
        </w:rPr>
      </w:pPr>
    </w:p>
    <w:p w:rsidR="00F21B1E" w:rsidRPr="00F21B1E" w:rsidRDefault="00C70100" w:rsidP="00F21B1E">
      <w:pPr>
        <w:widowControl w:val="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3</w:t>
      </w:r>
      <w:r w:rsidR="00F21B1E" w:rsidRPr="00F21B1E">
        <w:rPr>
          <w:color w:val="000000" w:themeColor="text1"/>
          <w:sz w:val="22"/>
        </w:rPr>
        <w:t xml:space="preserve">. Методика </w:t>
      </w:r>
      <w:proofErr w:type="spellStart"/>
      <w:r w:rsidR="00F21B1E" w:rsidRPr="00F21B1E">
        <w:rPr>
          <w:color w:val="000000" w:themeColor="text1"/>
          <w:sz w:val="22"/>
        </w:rPr>
        <w:t>расчета</w:t>
      </w:r>
      <w:proofErr w:type="spellEnd"/>
      <w:r w:rsidR="00F21B1E" w:rsidRPr="00F21B1E">
        <w:rPr>
          <w:color w:val="000000" w:themeColor="text1"/>
          <w:sz w:val="22"/>
        </w:rPr>
        <w:t xml:space="preserve"> значений целевых показателей муниципальной программы Московской области</w:t>
      </w:r>
      <w:r w:rsidR="00F21B1E">
        <w:rPr>
          <w:color w:val="000000" w:themeColor="text1"/>
          <w:sz w:val="22"/>
        </w:rPr>
        <w:t xml:space="preserve"> </w:t>
      </w:r>
      <w:r w:rsidR="00F21B1E" w:rsidRPr="00F21B1E">
        <w:rPr>
          <w:color w:val="000000" w:themeColor="text1"/>
          <w:sz w:val="22"/>
        </w:rPr>
        <w:t>«Управление имуществом и муниципальными финансами»</w:t>
      </w:r>
      <w:r w:rsidR="00F21B1E">
        <w:rPr>
          <w:color w:val="000000" w:themeColor="text1"/>
          <w:sz w:val="22"/>
        </w:rPr>
        <w:t xml:space="preserve"> </w:t>
      </w:r>
      <w:r w:rsidR="00F21B1E" w:rsidRPr="00F21B1E">
        <w:rPr>
          <w:color w:val="000000" w:themeColor="text1"/>
          <w:sz w:val="22"/>
        </w:rPr>
        <w:t>изложить в следующей редакции:</w:t>
      </w:r>
    </w:p>
    <w:p w:rsidR="00F21B1E" w:rsidRDefault="00F21B1E" w:rsidP="00E60CBB">
      <w:pPr>
        <w:pStyle w:val="af4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60CBB" w:rsidRPr="00903AC9" w:rsidRDefault="00F21B1E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E60CBB" w:rsidRPr="00903AC9">
        <w:rPr>
          <w:rFonts w:ascii="Times New Roman" w:hAnsi="Times New Roman"/>
          <w:b/>
          <w:color w:val="000000" w:themeColor="text1"/>
        </w:rPr>
        <w:t xml:space="preserve">Методика </w:t>
      </w:r>
      <w:proofErr w:type="spellStart"/>
      <w:r w:rsidR="00E60CBB" w:rsidRPr="00903AC9">
        <w:rPr>
          <w:rFonts w:ascii="Times New Roman" w:hAnsi="Times New Roman"/>
          <w:b/>
          <w:color w:val="000000" w:themeColor="text1"/>
        </w:rPr>
        <w:t>расчета</w:t>
      </w:r>
      <w:proofErr w:type="spellEnd"/>
      <w:r w:rsidR="00E60CBB" w:rsidRPr="00903AC9">
        <w:rPr>
          <w:rFonts w:ascii="Times New Roman" w:hAnsi="Times New Roman"/>
          <w:b/>
          <w:color w:val="000000" w:themeColor="text1"/>
        </w:rPr>
        <w:t xml:space="preserve"> значений целевых показателей муниципальной программы Московской области</w:t>
      </w:r>
    </w:p>
    <w:p w:rsidR="00E60CBB" w:rsidRPr="00903AC9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903AC9">
        <w:rPr>
          <w:rFonts w:ascii="Times New Roman" w:hAnsi="Times New Roman"/>
          <w:b/>
          <w:color w:val="000000" w:themeColor="text1"/>
        </w:rPr>
        <w:t>«Управление имуществом и муниципальными финансами»</w:t>
      </w:r>
    </w:p>
    <w:p w:rsidR="00E60CBB" w:rsidRPr="00903AC9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474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9"/>
        <w:gridCol w:w="621"/>
        <w:gridCol w:w="8196"/>
        <w:gridCol w:w="1701"/>
        <w:gridCol w:w="1417"/>
      </w:tblGrid>
      <w:tr w:rsidR="0026100F" w:rsidRPr="00903AC9" w:rsidTr="00312CB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1E7D1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26100F" w:rsidRPr="00903AC9" w:rsidTr="00312CB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26100F" w:rsidRPr="00903AC9" w:rsidTr="00312CB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- исполнительное производство окончено ввиду невозможности взыскания;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903AC9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="00E60CBB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903AC9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="00E60CBB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E60CBB" w:rsidRPr="00903AC9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начение показателя: 1 квартал-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квартал-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квартал-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75%; 4 квартал – 100% (год).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E60CBB" w:rsidRPr="00903AC9" w:rsidRDefault="00E60CBB" w:rsidP="00312CBE">
            <w:pPr>
              <w:pStyle w:val="af4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показателя: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квартал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25%;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50%;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75%;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 квартал – 100% 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(год).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E60CBB" w:rsidRPr="00903AC9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Пз=(ВО*0,2+Н *0,4+СЗ *0,4)*Кинц 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 – показатель «Проверка использования земель» (%);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 – коэффициента инцидента.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ВО=</w:t>
            </w:r>
            <w:r w:rsidR="00400F09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(ВО (факт))/(ВО (план) )*100,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400F09" w:rsidRPr="00903AC9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Н=</w:t>
            </w:r>
            <w:r w:rsidR="00400F09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(Н (уфнс))/(Н (осн))*100,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400F09" w:rsidRPr="00903AC9" w:rsidRDefault="007D594E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СЗ=</w:t>
            </w:r>
            <w:r w:rsidR="00400F09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(СЗ (устр))/(СЗ (факт))*100,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(устр) – количество земельных участков, на которых устранено самовольное занятие;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Расчет коэффициента инцидента (Кинц) осуществляется следующим образом: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ДМнар = (Мнар/(ЗУ(факт))*100, где: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Мнар – количество выявленных Минмособлимуществом некорректно составленных материалов МЗК.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ЗУфакт – количество земельных участков, осмотренных в отчетном периоде.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0,1 если  ДМнар = 1,8% и более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0,2, если ДМнар = 1,6-1,79%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0,3, если ДМнар = 1,4-1,59%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0,4, если ДМнар = 1,2-1,39%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0,5, если ДМнар = 1-1,19%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0,6, если ДМнар = 0,8-0,99%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0,7, если ДМнар = 0,6-0,79%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0,8, если ДМнар = 0,4-0,59%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0,9, если ДМнар = 0,2-0,39%</w:t>
            </w:r>
          </w:p>
          <w:p w:rsidR="00E60CBB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1, если    ДМнар = до 0,19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tr w:rsidR="007B3105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E175B4" w:rsidRPr="00903AC9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9" w:type="dxa"/>
          </w:tcPr>
          <w:p w:rsidR="00E175B4" w:rsidRPr="00903AC9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незарегистрированных объектов недвижимого имущества, </w:t>
            </w:r>
            <w:r w:rsidR="00F74329"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вовлечённых</w:t>
            </w: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налоговый оборот по результатам МЗК</w:t>
            </w:r>
          </w:p>
        </w:tc>
        <w:tc>
          <w:tcPr>
            <w:tcW w:w="621" w:type="dxa"/>
          </w:tcPr>
          <w:p w:rsidR="00E175B4" w:rsidRPr="00903AC9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175B4" w:rsidRPr="00903AC9" w:rsidRDefault="00E175B4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Пi3=((Кп+С)/├ Рвно┤ )*100%, где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Плановое значение – 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5% январь – март;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40% январь – июнь;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70% январь – сентябрь;</w:t>
            </w:r>
          </w:p>
          <w:p w:rsidR="007B3105" w:rsidRPr="00903AC9" w:rsidRDefault="007B3105" w:rsidP="00312CBE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90% январь – декабрь.</w:t>
            </w:r>
          </w:p>
        </w:tc>
        <w:tc>
          <w:tcPr>
            <w:tcW w:w="1701" w:type="dxa"/>
          </w:tcPr>
          <w:p w:rsidR="00E64BB2" w:rsidRPr="00903AC9" w:rsidRDefault="00E64BB2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Минмособлимущество, данные, внесенные ОМС в ГАС «Управление»</w:t>
            </w:r>
          </w:p>
        </w:tc>
        <w:tc>
          <w:tcPr>
            <w:tcW w:w="1417" w:type="dxa"/>
          </w:tcPr>
          <w:p w:rsidR="00E64BB2" w:rsidRPr="00903AC9" w:rsidRDefault="00E64BB2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39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Пзн – Процент собираемости земельного налога. 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формуле: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 – процент проведенных аукционов, %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7B3105" w:rsidRPr="00903AC9" w:rsidRDefault="007B3105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Плановое значение показателя: 1 квартал - 5%; 2 квартал - 10%; 3 квартал - 15%;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«Управление», ОМС,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конкурентной политике 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1.10.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.руб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(далее – договор аренды), а также размещению земельных участков на Инвестиционном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Московской области (далее – ИП).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П=80%*П1+20%*П2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доля расторгнутых договоров аренды;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доля земельных участков,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(доля расторгнутых договоров аренды) осуществляется по формуле: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дату) + расторгнутые).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расторгнутых договоров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Рдп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приняты меры </w:t>
            </w: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расторжению, а именно: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подано исковое заявление в суд;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исковое заявление находится на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рассмотрении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суде;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 и 0,7 – понижающие коэффициенты.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(доля земельных участков,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ИП) осуществляется по формуле: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 100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 (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≥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ИПн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году, но не подлежащих размещению на ИП по следующим причинам: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в стадии изменения ВРИ;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для передачи в собственность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другого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ОМС/МО/РФ;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судебный акт обжалуется;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оформление ОКС,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расположенных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ЗУ, в собственность арендатора;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выкуп земельного участка.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ИПф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году,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значение 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m:t>1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Источники: данные ГАСУ, РГИС, ЕИСУГИ 2.0, ЕГИС ОКНД, ИП.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– 100%.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Период – ежемесячно.</w:t>
            </w:r>
          </w:p>
          <w:p w:rsidR="00011469" w:rsidRPr="002616D4" w:rsidRDefault="00011469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Система ГАС «Управление», ОМС,</w:t>
            </w:r>
          </w:p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ЕИСУГИ 2.0, Инвестиционный портал Московской области (ИП),</w:t>
            </w:r>
          </w:p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903AC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846E47" w:rsidRPr="00B479BE" w:rsidRDefault="00577A27" w:rsidP="00E64BB2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  <w:r w:rsidRPr="00B479BE">
        <w:rPr>
          <w:rFonts w:ascii="Times New Roman" w:hAnsi="Times New Roman" w:cs="Times New Roman"/>
          <w:color w:val="FF0000"/>
        </w:rPr>
        <w:lastRenderedPageBreak/>
        <w:tab/>
      </w:r>
    </w:p>
    <w:p w:rsidR="002616D4" w:rsidRDefault="00C70100" w:rsidP="00C70100">
      <w:pPr>
        <w:pStyle w:val="af4"/>
        <w:ind w:right="536"/>
        <w:jc w:val="righ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».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C70100" w:rsidRPr="00F21B1E" w:rsidRDefault="00155B10" w:rsidP="00C70100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4</w:t>
      </w:r>
      <w:r w:rsidR="00C70100" w:rsidRPr="00F21B1E">
        <w:rPr>
          <w:color w:val="000000" w:themeColor="text1"/>
          <w:sz w:val="22"/>
        </w:rPr>
        <w:t xml:space="preserve">. </w:t>
      </w:r>
      <w:r w:rsidR="00C70100" w:rsidRPr="00C70100">
        <w:rPr>
          <w:color w:val="000000" w:themeColor="text1"/>
          <w:sz w:val="22"/>
        </w:rPr>
        <w:t>Перечень мероприятий Подпрограмм муниципальной программы «Управление имуществом и муниципальными финансами» на 2023-2027 годы</w:t>
      </w:r>
      <w:r w:rsidR="00C70100">
        <w:rPr>
          <w:color w:val="000000" w:themeColor="text1"/>
          <w:sz w:val="22"/>
        </w:rPr>
        <w:t xml:space="preserve"> </w:t>
      </w:r>
      <w:r w:rsidR="00C70100" w:rsidRPr="00F21B1E">
        <w:rPr>
          <w:color w:val="000000" w:themeColor="text1"/>
          <w:sz w:val="22"/>
        </w:rPr>
        <w:t>изложить в следующей редакции: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C70100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1E34BE" w:rsidRPr="003145BC">
        <w:rPr>
          <w:rFonts w:ascii="Times New Roman" w:hAnsi="Times New Roman"/>
          <w:b/>
          <w:color w:val="000000" w:themeColor="text1"/>
        </w:rPr>
        <w:t>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274"/>
      </w:tblGrid>
      <w:tr w:rsidR="0026100F" w:rsidRPr="003145BC" w:rsidTr="00925769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26100F" w:rsidRPr="003145BC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3145BC" w:rsidTr="00925769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E73DB7" w:rsidRPr="00763541" w:rsidTr="00E6679F">
        <w:tc>
          <w:tcPr>
            <w:tcW w:w="147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C" w:rsidRPr="00763541" w:rsidRDefault="005A745B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A20094" w:rsidRPr="00763541" w:rsidTr="001E7D15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819,8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963,8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652640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E73DB7" w:rsidRPr="00763541" w:rsidTr="00925769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094" w:rsidRPr="00763541" w:rsidTr="00A20094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819,8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963,8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E62174" w:rsidTr="0092576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763541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553,8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E62174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E62174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BD5A7E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691D66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763541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553,8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B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AD1" w:rsidRPr="00E62174" w:rsidTr="00846E47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F20521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20"/>
              </w:rPr>
              <w:t xml:space="preserve">Количество объектов, находящихся в муниципальной собственности, в отношении которых были произведены </w:t>
            </w:r>
            <w:r w:rsidRPr="00E62174">
              <w:rPr>
                <w:rFonts w:cs="Times New Roman"/>
                <w:color w:val="000000" w:themeColor="text1"/>
                <w:sz w:val="20"/>
              </w:rPr>
              <w:lastRenderedPageBreak/>
              <w:t>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AD1" w:rsidRPr="00E62174" w:rsidTr="00846E47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AD1" w:rsidRPr="00E62174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71" w:rsidRPr="00E62174" w:rsidTr="00846E4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C47C71" w:rsidRPr="00E62174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71" w:rsidRPr="00E62174" w:rsidTr="00846E47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846E4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846E4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E62174" w:rsidTr="0092576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E62174" w:rsidTr="0092576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902EA4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00C58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900C5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E62174" w:rsidTr="00846E4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00C58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5769" w:rsidRPr="00E62174" w:rsidTr="0092576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E62174" w:rsidTr="00925769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E62174" w:rsidTr="00925769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E62174" w:rsidTr="00925769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C3646C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5A98" w:rsidRPr="00E62174" w:rsidTr="00846E47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E62174" w:rsidTr="006E0510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213C39" w:rsidRPr="00E62174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E62174" w:rsidTr="00925769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E62174" w:rsidTr="00846E47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подпрограмме 1 «Эффективное управление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236 997</w:t>
            </w:r>
            <w:r w:rsidR="00950797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95079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47 806,1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95079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233 904,3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E268A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46 775,1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0431E4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508A1" w:rsidRPr="00E62174" w:rsidRDefault="00D508A1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846E47" w:rsidRPr="00B479BE" w:rsidRDefault="00846E47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844318" w:rsidRPr="008724C5" w:rsidTr="00CD4D1A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CD4D1A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CD4D1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844318" w:rsidRPr="000577C6" w:rsidRDefault="00844318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1 051 761,6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251 484,8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1 051 761,6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251 484,8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0577C6"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73" w:rsidRPr="0019525B" w:rsidRDefault="0058657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573" w:rsidRPr="0019525B" w:rsidRDefault="0058657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586573" w:rsidRPr="0019525B" w:rsidRDefault="00586573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586573" w:rsidRPr="0019525B" w:rsidRDefault="00586573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573" w:rsidRPr="0019525B" w:rsidRDefault="0058657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73" w:rsidRPr="0019525B" w:rsidRDefault="0058657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19525B" w:rsidRDefault="00586573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325 743,6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19525B" w:rsidRDefault="00586573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19525B" w:rsidRDefault="00586573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19525B" w:rsidRDefault="00586573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19525B" w:rsidRDefault="00586573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19525B" w:rsidRDefault="00586573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73" w:rsidRPr="0019525B" w:rsidRDefault="0058657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586573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325 743,6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586573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9E258D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19525B" w:rsidTr="005C2C49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5C2C49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19525B" w:rsidTr="00CC505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82C14" w:rsidRPr="0019525B" w:rsidTr="00CC505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14" w:rsidRPr="0019525B" w:rsidRDefault="00182C14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182C14" w:rsidRPr="0019525B" w:rsidRDefault="00182C14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МБУ «ЛАТП – автотранспортное обслуживание»)</w:t>
            </w:r>
            <w:r w:rsidR="00811824" w:rsidRPr="0019525B">
              <w:rPr>
                <w:i/>
                <w:color w:val="000000" w:themeColor="text1"/>
                <w:sz w:val="16"/>
                <w:szCs w:val="16"/>
              </w:rPr>
              <w:t xml:space="preserve">, </w:t>
            </w:r>
            <w:r w:rsidR="00811824" w:rsidRPr="0019525B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182C14" w:rsidRPr="0019525B" w:rsidRDefault="00182C14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14" w:rsidRPr="0019525B" w:rsidRDefault="00182C14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14" w:rsidRPr="0019525B" w:rsidRDefault="00182C14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19525B" w:rsidRDefault="00182C14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104 888,0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19525B" w:rsidRDefault="00182C14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32 817,6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19525B" w:rsidRDefault="00182C14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19525B" w:rsidRDefault="00182C14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19525B" w:rsidRDefault="00182C14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19525B" w:rsidRDefault="00182C14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14" w:rsidRPr="0019525B" w:rsidRDefault="00182C14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19525B" w:rsidTr="00182C14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182C14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104 888,0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182C14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32 817,6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5BA0" w:rsidRPr="0019525B" w:rsidTr="00182C14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19525B">
              <w:rPr>
                <w:color w:val="000000" w:themeColor="text1"/>
              </w:rPr>
              <w:t xml:space="preserve"> </w:t>
            </w: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7A2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19525B" w:rsidTr="006F4D46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7A2DB2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F4D46" w:rsidRPr="0019525B" w:rsidTr="006F4D46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7A2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19525B" w:rsidTr="006F4D4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7A2DB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7A2D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9525B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</w:t>
            </w: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44" w:rsidRPr="00155D44" w:rsidRDefault="00155D44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1 052 093,4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251 616,6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7A2DB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7A2DB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7A2DB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44" w:rsidRPr="00155D44" w:rsidRDefault="00155D44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155D4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155D44"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052 093,4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155D44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251 616,6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C70100" w:rsidRDefault="00C70100" w:rsidP="00C70100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C70100">
        <w:rPr>
          <w:rFonts w:cs="Times New Roman"/>
          <w:color w:val="000000" w:themeColor="text1"/>
          <w:sz w:val="24"/>
          <w:szCs w:val="24"/>
        </w:rPr>
        <w:t>».</w:t>
      </w:r>
    </w:p>
    <w:sectPr w:rsidR="000A436A" w:rsidRPr="00C70100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88" w:rsidRPr="00BE29A2" w:rsidRDefault="00DF5D88" w:rsidP="00BE29A2">
      <w:r>
        <w:separator/>
      </w:r>
    </w:p>
  </w:endnote>
  <w:endnote w:type="continuationSeparator" w:id="0">
    <w:p w:rsidR="00DF5D88" w:rsidRPr="00BE29A2" w:rsidRDefault="00DF5D88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B2" w:rsidRDefault="007A2DB2" w:rsidP="0061751B">
    <w:pPr>
      <w:pStyle w:val="a9"/>
      <w:jc w:val="center"/>
    </w:pPr>
  </w:p>
  <w:p w:rsidR="007A2DB2" w:rsidRDefault="007A2DB2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88" w:rsidRPr="00BE29A2" w:rsidRDefault="00DF5D88" w:rsidP="00BE29A2">
      <w:r>
        <w:separator/>
      </w:r>
    </w:p>
  </w:footnote>
  <w:footnote w:type="continuationSeparator" w:id="0">
    <w:p w:rsidR="00DF5D88" w:rsidRPr="00BE29A2" w:rsidRDefault="00DF5D88" w:rsidP="00BE29A2">
      <w:r>
        <w:continuationSeparator/>
      </w:r>
    </w:p>
  </w:footnote>
  <w:footnote w:id="1">
    <w:p w:rsidR="007A2DB2" w:rsidRPr="005008EB" w:rsidRDefault="007A2DB2" w:rsidP="005008E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7581"/>
    <w:rsid w:val="000577C6"/>
    <w:rsid w:val="00071D78"/>
    <w:rsid w:val="0008083D"/>
    <w:rsid w:val="00081A72"/>
    <w:rsid w:val="00083088"/>
    <w:rsid w:val="00084180"/>
    <w:rsid w:val="00093027"/>
    <w:rsid w:val="000939B1"/>
    <w:rsid w:val="000A436A"/>
    <w:rsid w:val="000B11F5"/>
    <w:rsid w:val="000B4579"/>
    <w:rsid w:val="000C6E6B"/>
    <w:rsid w:val="000C7171"/>
    <w:rsid w:val="000D17A3"/>
    <w:rsid w:val="000D1AF7"/>
    <w:rsid w:val="000D2341"/>
    <w:rsid w:val="000D3434"/>
    <w:rsid w:val="000D561F"/>
    <w:rsid w:val="000E29D2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7B05"/>
    <w:rsid w:val="001516A4"/>
    <w:rsid w:val="00155B10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A3375"/>
    <w:rsid w:val="002A62AD"/>
    <w:rsid w:val="002A72DA"/>
    <w:rsid w:val="002A7627"/>
    <w:rsid w:val="002B55F2"/>
    <w:rsid w:val="002C0411"/>
    <w:rsid w:val="002C046C"/>
    <w:rsid w:val="002C4DBB"/>
    <w:rsid w:val="002D0F54"/>
    <w:rsid w:val="002D11FF"/>
    <w:rsid w:val="002D3C78"/>
    <w:rsid w:val="002E268A"/>
    <w:rsid w:val="002E5BB7"/>
    <w:rsid w:val="002F5378"/>
    <w:rsid w:val="00303CA4"/>
    <w:rsid w:val="003074F7"/>
    <w:rsid w:val="00312CBE"/>
    <w:rsid w:val="003144F6"/>
    <w:rsid w:val="003145BC"/>
    <w:rsid w:val="00323997"/>
    <w:rsid w:val="00324AC3"/>
    <w:rsid w:val="00326E6C"/>
    <w:rsid w:val="0033112E"/>
    <w:rsid w:val="0033723D"/>
    <w:rsid w:val="003401A3"/>
    <w:rsid w:val="0034303A"/>
    <w:rsid w:val="00351F39"/>
    <w:rsid w:val="003554C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6376"/>
    <w:rsid w:val="003A7FEC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44A6"/>
    <w:rsid w:val="00426893"/>
    <w:rsid w:val="00434034"/>
    <w:rsid w:val="00436402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665D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5991"/>
    <w:rsid w:val="005759A2"/>
    <w:rsid w:val="00576969"/>
    <w:rsid w:val="00577A27"/>
    <w:rsid w:val="00583E7B"/>
    <w:rsid w:val="00586573"/>
    <w:rsid w:val="00587318"/>
    <w:rsid w:val="00587A17"/>
    <w:rsid w:val="00591F83"/>
    <w:rsid w:val="00595C63"/>
    <w:rsid w:val="005979F6"/>
    <w:rsid w:val="005A2498"/>
    <w:rsid w:val="005A4134"/>
    <w:rsid w:val="005A4B81"/>
    <w:rsid w:val="005A5327"/>
    <w:rsid w:val="005A745B"/>
    <w:rsid w:val="005B4063"/>
    <w:rsid w:val="005B6816"/>
    <w:rsid w:val="005C035C"/>
    <w:rsid w:val="005C087E"/>
    <w:rsid w:val="005C2C49"/>
    <w:rsid w:val="005D1052"/>
    <w:rsid w:val="005D4276"/>
    <w:rsid w:val="005E3302"/>
    <w:rsid w:val="005E4C35"/>
    <w:rsid w:val="005E613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5A98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408D7"/>
    <w:rsid w:val="00743A12"/>
    <w:rsid w:val="00746FAA"/>
    <w:rsid w:val="007503AF"/>
    <w:rsid w:val="00753C71"/>
    <w:rsid w:val="00763541"/>
    <w:rsid w:val="00763E5C"/>
    <w:rsid w:val="00766AB4"/>
    <w:rsid w:val="00774F88"/>
    <w:rsid w:val="00775A40"/>
    <w:rsid w:val="00777429"/>
    <w:rsid w:val="00777C77"/>
    <w:rsid w:val="007870CF"/>
    <w:rsid w:val="00793C35"/>
    <w:rsid w:val="007A2DB2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EE9"/>
    <w:rsid w:val="00831992"/>
    <w:rsid w:val="008344C1"/>
    <w:rsid w:val="00844318"/>
    <w:rsid w:val="0084668A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62EF"/>
    <w:rsid w:val="0088238C"/>
    <w:rsid w:val="008870F0"/>
    <w:rsid w:val="00895563"/>
    <w:rsid w:val="00896E10"/>
    <w:rsid w:val="008A78E0"/>
    <w:rsid w:val="008B0015"/>
    <w:rsid w:val="008B0861"/>
    <w:rsid w:val="008C0572"/>
    <w:rsid w:val="008C0E1C"/>
    <w:rsid w:val="008D42F2"/>
    <w:rsid w:val="008E147C"/>
    <w:rsid w:val="008E52DA"/>
    <w:rsid w:val="008F121D"/>
    <w:rsid w:val="00900C58"/>
    <w:rsid w:val="009021C8"/>
    <w:rsid w:val="00902EA4"/>
    <w:rsid w:val="00903AC9"/>
    <w:rsid w:val="00925769"/>
    <w:rsid w:val="0093466B"/>
    <w:rsid w:val="00935AB0"/>
    <w:rsid w:val="00940020"/>
    <w:rsid w:val="00950797"/>
    <w:rsid w:val="0096084D"/>
    <w:rsid w:val="00962F74"/>
    <w:rsid w:val="0096625B"/>
    <w:rsid w:val="009769CB"/>
    <w:rsid w:val="00990293"/>
    <w:rsid w:val="00992616"/>
    <w:rsid w:val="00995C63"/>
    <w:rsid w:val="009B59B1"/>
    <w:rsid w:val="009B6479"/>
    <w:rsid w:val="009B738B"/>
    <w:rsid w:val="009D5D5A"/>
    <w:rsid w:val="009D5F56"/>
    <w:rsid w:val="009E0778"/>
    <w:rsid w:val="009E258D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411D"/>
    <w:rsid w:val="00A4531E"/>
    <w:rsid w:val="00A50B41"/>
    <w:rsid w:val="00A555C3"/>
    <w:rsid w:val="00A60A13"/>
    <w:rsid w:val="00A61230"/>
    <w:rsid w:val="00A63805"/>
    <w:rsid w:val="00A6778E"/>
    <w:rsid w:val="00A7042B"/>
    <w:rsid w:val="00A76F7E"/>
    <w:rsid w:val="00A938C6"/>
    <w:rsid w:val="00A93E4F"/>
    <w:rsid w:val="00A9437E"/>
    <w:rsid w:val="00A96DA9"/>
    <w:rsid w:val="00AA36FC"/>
    <w:rsid w:val="00AB159F"/>
    <w:rsid w:val="00AB528C"/>
    <w:rsid w:val="00AC421E"/>
    <w:rsid w:val="00AD70D6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93212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6BD"/>
    <w:rsid w:val="00C64CAC"/>
    <w:rsid w:val="00C66AF1"/>
    <w:rsid w:val="00C70100"/>
    <w:rsid w:val="00C748C8"/>
    <w:rsid w:val="00C74C89"/>
    <w:rsid w:val="00C80250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5D88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54D3"/>
    <w:rsid w:val="00E96BDE"/>
    <w:rsid w:val="00EA5411"/>
    <w:rsid w:val="00EA5D6F"/>
    <w:rsid w:val="00EC1316"/>
    <w:rsid w:val="00EC3C00"/>
    <w:rsid w:val="00EC4850"/>
    <w:rsid w:val="00EE5BA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1322D"/>
    <w:rsid w:val="00F20237"/>
    <w:rsid w:val="00F20521"/>
    <w:rsid w:val="00F20755"/>
    <w:rsid w:val="00F21B1E"/>
    <w:rsid w:val="00F273DA"/>
    <w:rsid w:val="00F30596"/>
    <w:rsid w:val="00F34D93"/>
    <w:rsid w:val="00F42C1A"/>
    <w:rsid w:val="00F42F14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7EF7"/>
    <w:rsid w:val="00FC1E7A"/>
    <w:rsid w:val="00FD4F03"/>
    <w:rsid w:val="00FD7C4D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F636-E6F6-4810-A786-5ADC5FD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6440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2023-08-10T07:23:00Z</cp:lastPrinted>
  <dcterms:created xsi:type="dcterms:W3CDTF">2023-08-11T06:14:00Z</dcterms:created>
  <dcterms:modified xsi:type="dcterms:W3CDTF">2023-08-11T06:14:00Z</dcterms:modified>
  <dc:language>ru-RU</dc:language>
</cp:coreProperties>
</file>