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77"/>
        </w:tabs>
        <w:jc w:val="center"/>
      </w:pPr>
      <w:r>
        <w:rPr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4"/>
          <w:szCs w:val="4"/>
        </w:rPr>
      </w:pPr>
    </w:p>
    <w:p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>МОСКОВСКОЙ  ОБЛАСТИ</w:t>
      </w:r>
    </w:p>
    <w:p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23.01.2023</w:t>
      </w:r>
      <w:r>
        <w:rPr>
          <w:rFonts w:ascii="Times New Roman" w:hAnsi="Times New Roman" w:cs="Times New Roman"/>
          <w:sz w:val="24"/>
          <w:szCs w:val="24"/>
        </w:rPr>
        <w:t>__№ 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13-п</w:t>
      </w:r>
      <w:r>
        <w:rPr>
          <w:rFonts w:ascii="Times New Roman" w:hAnsi="Times New Roman" w:cs="Times New Roman"/>
          <w:sz w:val="24"/>
          <w:szCs w:val="24"/>
        </w:rPr>
        <w:t>___</w:t>
      </w:r>
    </w:p>
    <w:p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г.о. Лыткарино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 в муниципальную программу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«Образование» на 2023-2027 годы</w:t>
      </w:r>
    </w:p>
    <w:p>
      <w:pPr>
        <w:jc w:val="center"/>
        <w:rPr>
          <w:rFonts w:ascii="Times New Roman" w:hAnsi="Times New Roman" w:cs="Times New Roman"/>
          <w:color w:val="000000"/>
          <w:szCs w:val="28"/>
        </w:rPr>
      </w:pPr>
    </w:p>
    <w:p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>
      <w:pPr>
        <w:pStyle w:val="6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со ст. 179 Бюджетного кодекса Российской Федерации, решением Совета депутатов городского округа Лыткарино  от  15.12.2022                       № 286/35 </w:t>
      </w:r>
      <w:r>
        <w:rPr>
          <w:rFonts w:ascii="Times New Roman" w:hAnsi="Times New Roman" w:eastAsia="Batang" w:cs="Times New Roman"/>
          <w:bCs/>
          <w:sz w:val="28"/>
        </w:rPr>
        <w:t xml:space="preserve"> «Об утверждении бюджета городского округа Лыткарино на  2023 год и на плановый период 2024 и 2025 годов»,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муниципальных программах городского округа Лыткарино, утверждённым  постановлением  главы  городского округа  Лыткарино  от 02.11.2020 № 548-п,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26.12.2022 № 133 ,  постановляю:</w:t>
      </w:r>
    </w:p>
    <w:p>
      <w:pPr>
        <w:pStyle w:val="6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567" w:right="-219" w:firstLine="851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Внести изменения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 </w:t>
      </w:r>
      <w:r>
        <w:rPr>
          <w:rFonts w:ascii="Times New Roman" w:hAnsi="Times New Roman" w:cs="Times New Roman"/>
          <w:spacing w:val="12"/>
          <w:sz w:val="28"/>
          <w:szCs w:val="28"/>
        </w:rPr>
        <w:t>на 2023-2027 годы, утверждённую постановлением главы городского округа Лыткарино от 15.11.2022 № 714-п (прилагаются).</w:t>
      </w:r>
    </w:p>
    <w:p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 Контроль за исполнением настоящего постановления возложить на заместителя главы Администрации городского округа Лыткарино                                       Е.В. Забойкина.</w:t>
      </w:r>
    </w:p>
    <w:p>
      <w:pPr>
        <w:pStyle w:val="7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>
      <w:pPr>
        <w:pStyle w:val="7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>
      <w:pPr>
        <w:pStyle w:val="10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10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10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10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10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ind w:right="-170"/>
        <w:jc w:val="both"/>
        <w:rPr>
          <w:rFonts w:ascii="Times New Roman" w:hAnsi="Times New Roman" w:cs="Times New Roman"/>
        </w:rPr>
      </w:pPr>
    </w:p>
    <w:p>
      <w:pPr>
        <w:ind w:right="-170"/>
        <w:jc w:val="both"/>
        <w:rPr>
          <w:rFonts w:ascii="Times New Roman" w:hAnsi="Times New Roman" w:cs="Times New Roman"/>
        </w:rPr>
      </w:pPr>
    </w:p>
    <w:p>
      <w:pPr>
        <w:ind w:right="-170"/>
        <w:jc w:val="both"/>
        <w:rPr>
          <w:rFonts w:ascii="Times New Roman" w:hAnsi="Times New Roman" w:cs="Times New Roman"/>
        </w:rPr>
      </w:pPr>
    </w:p>
    <w:p>
      <w:pPr>
        <w:spacing w:before="37" w:line="240" w:lineRule="auto"/>
        <w:jc w:val="right"/>
        <w:outlineLvl w:val="0"/>
        <w:rPr>
          <w:rFonts w:ascii="Times New Roman" w:hAnsi="Times New Roman" w:eastAsia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</w:rPr>
        <w:t xml:space="preserve">Приложение к постановлению главы </w:t>
      </w:r>
    </w:p>
    <w:p>
      <w:pPr>
        <w:spacing w:before="37" w:line="240" w:lineRule="auto"/>
        <w:jc w:val="right"/>
        <w:outlineLvl w:val="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городского округа Лыткарино</w:t>
      </w:r>
    </w:p>
    <w:p>
      <w:pPr>
        <w:spacing w:before="37" w:line="240" w:lineRule="auto"/>
        <w:ind w:left="3540" w:hanging="35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от __</w:t>
      </w:r>
      <w:r>
        <w:rPr>
          <w:rFonts w:hint="default" w:ascii="Times New Roman" w:hAnsi="Times New Roman" w:eastAsia="Times New Roman" w:cs="Times New Roman"/>
          <w:color w:val="000000"/>
          <w:u w:val="single"/>
          <w:lang w:val="ru-RU"/>
        </w:rPr>
        <w:t>23.01.2023</w:t>
      </w:r>
      <w:r>
        <w:rPr>
          <w:rFonts w:ascii="Times New Roman" w:hAnsi="Times New Roman" w:eastAsia="Times New Roman" w:cs="Times New Roman"/>
          <w:color w:val="000000"/>
        </w:rPr>
        <w:t>__№__</w:t>
      </w:r>
      <w:r>
        <w:rPr>
          <w:rFonts w:hint="default" w:ascii="Times New Roman" w:hAnsi="Times New Roman" w:eastAsia="Times New Roman" w:cs="Times New Roman"/>
          <w:color w:val="000000"/>
          <w:u w:val="single"/>
          <w:lang w:val="ru-RU"/>
        </w:rPr>
        <w:t>13-п</w:t>
      </w:r>
      <w:r>
        <w:rPr>
          <w:rFonts w:ascii="Times New Roman" w:hAnsi="Times New Roman" w:eastAsia="Times New Roman" w:cs="Times New Roman"/>
          <w:color w:val="000000"/>
        </w:rPr>
        <w:t>_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 «ОБРАЗОВАНИЕ» на 2023-2027 годы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Раздел 1. «Паспорт муниципальной программы «Образование» на 2023-2027 годы изложить в новой редакции:</w:t>
      </w:r>
    </w:p>
    <w:tbl>
      <w:tblPr>
        <w:tblStyle w:val="3"/>
        <w:tblW w:w="31680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680" w:type="dxa"/>
            <w:noWrap/>
            <w:vAlign w:val="bottom"/>
          </w:tcPr>
          <w:tbl>
            <w:tblPr>
              <w:tblStyle w:val="3"/>
              <w:tblpPr w:leftFromText="180" w:rightFromText="180" w:bottomFromText="200" w:vertAnchor="text" w:horzAnchor="margin" w:tblpX="704" w:tblpY="-111"/>
              <w:tblOverlap w:val="never"/>
              <w:tblW w:w="1066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25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городского округа Лыткарино Забойкин Е.В.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государственные образовательные стандарты дошкольного образования;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4" w:hRule="atLeast"/>
              </w:trPr>
              <w:tc>
                <w:tcPr>
                  <w:tcW w:w="252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252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25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3" w:hRule="atLeast"/>
              </w:trPr>
              <w:tc>
                <w:tcPr>
                  <w:tcW w:w="25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</w:p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</w:p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и технологий образования.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25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</w:p>
                <w:p>
                  <w:pPr>
                    <w:shd w:val="clear" w:color="auto" w:fill="FFFFFF"/>
                    <w:spacing w:after="0" w:line="240" w:lineRule="auto"/>
                    <w:ind w:right="-71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25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</w:trPr>
              <w:tc>
                <w:tcPr>
                  <w:tcW w:w="25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</w:p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1A1A1A"/>
                      <w:sz w:val="15"/>
                      <w:szCs w:val="15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252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5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4 264 155,5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1 043 402,7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806 245,7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804 835,7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804 835,7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804 835,7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1 681 591,5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365 587,2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330 242,3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325 254,0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330 254,0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330 254,0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5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282 769,8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118 661,8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47 583,8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38 841,4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38 841,4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38 841,4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5" w:hRule="atLeast"/>
              </w:trPr>
              <w:tc>
                <w:tcPr>
                  <w:tcW w:w="25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6 228 516,8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1 527 651,7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1 184 071,8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1 168 931,1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1 173 931,1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1 173 931,1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  <w:sectPr>
          <w:pgSz w:w="11906" w:h="16838"/>
          <w:pgMar w:top="851" w:right="851" w:bottom="851" w:left="1276" w:header="709" w:footer="709" w:gutter="0"/>
          <w:cols w:space="708" w:num="1"/>
          <w:docGrid w:linePitch="360" w:charSpace="0"/>
        </w:sect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мероприятий подпрограммы № 1 «Общее образование» муниципальной программы «Образование» на 2023-2027 годы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изложить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1627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568"/>
        <w:gridCol w:w="1103"/>
        <w:gridCol w:w="1700"/>
        <w:gridCol w:w="1060"/>
        <w:gridCol w:w="1240"/>
        <w:gridCol w:w="720"/>
        <w:gridCol w:w="700"/>
        <w:gridCol w:w="680"/>
        <w:gridCol w:w="600"/>
        <w:gridCol w:w="1001"/>
        <w:gridCol w:w="992"/>
        <w:gridCol w:w="993"/>
        <w:gridCol w:w="99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9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right="-133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5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5 128 437,5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1 026 532,30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1 026 726,3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1 021 726,3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1 026 726,3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1 026 726,3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3 882 425,0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776 485,00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1 151 101,5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231 220,30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226 220,30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231 220,30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231 220,30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94 911,0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3 887 466,00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777 338,00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777 532,00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777 532,00</w:t>
            </w:r>
          </w:p>
        </w:tc>
        <w:tc>
          <w:tcPr>
            <w:tcW w:w="993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777 532,00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777 532,00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3 792 555,00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758 511,00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758 511,00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758 511,00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758 511,00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758 511,00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94 911,00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18 827,00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1 556 500,00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993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1 556 500,00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1001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993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311 300,00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2 330 966,00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466 038,00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466 232,00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466 232,00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466 232,00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466 232,00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2 236 055,00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447 211,00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447 211,00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447 211,00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447 211,00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447 211,00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94 911,00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18 827,00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19 021,00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Прогнозируемое количество в семьях детей,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ind w:right="-11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1.6.1.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компнесации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84 890,00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84 890,00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ind w:left="-136" w:right="-111" w:firstLine="136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1.6.2.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ind w:right="-11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1.6.3.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330 206,8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64 707,2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64 874,90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330 206,8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64 707,2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64 874,90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45 329,2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10 800,0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45 329,2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10 800,0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8 170,50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834,10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8 170,50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834,10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663 068,6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132 999,0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131 017,40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663 068,6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132 999,0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131 017,40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102 526,4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20 520,0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102 526,4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20 520,0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267 589,1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51 461,8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51 461,8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54 888,5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54 888,5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54 888,5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137 955,1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26 451,5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26 451,5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28 350,7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28 350,7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28 350,7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32 901,8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6 374,8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6 374,8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96 732,2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приобретенных автобусов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176 669,1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62 270,1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17 666,8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96 732,2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горячим питанием обучающихся 1-4 классов,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90 680,00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18 136,00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18 136,00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18 136,00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18 136,00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18 136,00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75 445,00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15 089,00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15 089,00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15 089,00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15 089,00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15 089,00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15 235,00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3 047,00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3 047,00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3 047,00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3 047,00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3 047,00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организаций, в которых проведены: ремонт, закупка, установка внутреннего 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дымоудаления,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 огнезащитных препятствий защитными решетками или пленками, закупка газо-дымозащитных комплектов, разработка планов эвакуации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356 676,8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356 676,8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240 302,2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240 302,2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35 667,6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35 667,6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80 707,0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80 707,0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190 763,5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190 763,5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Колличествоблогоустроенных территорий 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restar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переподготовку, 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restar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9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4530,3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4530,3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11058,0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2 204,2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2 204,2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организациях, 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Е1.04.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муниципальных общеобразовательных организаций, в которых проведен капитальный ремонт,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спортом.,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образования,человек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04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5 771 402,3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1 435 697,2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1 092 781,8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1 077 641,1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1 082 641,1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>1 082 641,1</w:t>
            </w:r>
          </w:p>
        </w:tc>
        <w:tc>
          <w:tcPr>
            <w:tcW w:w="138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04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4 263 991,4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1 043 238,6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806 245,7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804 835,7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804 835,7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804 835,7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4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1 225 133,3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274 289,0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238 952,3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233 964,0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238 964,0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238 964,0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04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4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282 277,6</w:t>
            </w:r>
          </w:p>
        </w:tc>
        <w:tc>
          <w:tcPr>
            <w:tcW w:w="3940" w:type="dxa"/>
            <w:gridSpan w:val="5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118 169,6</w:t>
            </w:r>
          </w:p>
        </w:tc>
        <w:tc>
          <w:tcPr>
            <w:tcW w:w="10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47 583,8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38 841,4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38 841,4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38 841,4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</w:rPr>
        <w:sectPr>
          <w:pgSz w:w="16838" w:h="11906" w:orient="landscape"/>
          <w:pgMar w:top="851" w:right="851" w:bottom="1276" w:left="851" w:header="709" w:footer="709" w:gutter="0"/>
          <w:cols w:space="708" w:num="1"/>
          <w:docGrid w:linePitch="360" w:charSpace="0"/>
        </w:sectPr>
      </w:pPr>
    </w:p>
    <w:p>
      <w:pPr>
        <w:spacing w:before="37"/>
        <w:ind w:left="360" w:right="-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Перечень мероприятий подпрограммы № 2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3"/>
        <w:tblW w:w="159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973"/>
        <w:gridCol w:w="1103"/>
        <w:gridCol w:w="143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стипендиантов,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здоровья, чел.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277 690,00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277 690,00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265 697,6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53 138,0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265 697,6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53 138,0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10 792,4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2160,0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10 792,4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2160,0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Повышени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обеспечениюпожарной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Е4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 Е4.01.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центров цифрового образования детей it-куб,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Е2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Е2.02.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созданых новых мест в образовательных организациях различных типов для реализации дополнительных общеразвивающих программ всех направленностей,мест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664,5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664,5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664,5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664,5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Создание детского технопарка «Кванториум»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детских технопарка «Кванториум»,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0" w:type="dxa"/>
            <w:gridSpan w:val="10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0" w:type="dxa"/>
            <w:gridSpan w:val="10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0" w:type="dxa"/>
            <w:gridSpan w:val="10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Количество общеобразовательных профессиональных образовательных организаций, принявших участие в данных мероприятиях, шт.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840" w:type="dxa"/>
            <w:gridSpan w:val="4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III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343 683,5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69 268,3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130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343 027,2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68 612,0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4800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pStyle w:val="9"/>
        <w:spacing w:after="0" w:line="360" w:lineRule="auto"/>
        <w:jc w:val="both"/>
        <w:rPr>
          <w:rFonts w:ascii="Times New Roman" w:hAnsi="Times New Roman" w:cs="Times New Roman"/>
        </w:rPr>
        <w:sectPr>
          <w:pgSz w:w="16838" w:h="11906" w:orient="landscape"/>
          <w:pgMar w:top="851" w:right="851" w:bottom="1276" w:left="851" w:header="709" w:footer="709" w:gutter="0"/>
          <w:cols w:space="708" w:num="1"/>
          <w:docGrid w:linePitch="360" w:charSpace="0"/>
        </w:sectPr>
      </w:pPr>
    </w:p>
    <w:p>
      <w:pPr>
        <w:ind w:left="2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Перечень мероприятий подпрограммы № 3  «Обеспечивающая подпрограмма»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3"/>
        <w:tblW w:w="1582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112 491,5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112 491,5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87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8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8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8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687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pStyle w:val="9"/>
        <w:spacing w:after="0" w:line="360" w:lineRule="auto"/>
        <w:jc w:val="both"/>
        <w:rPr>
          <w:rFonts w:ascii="Times New Roman" w:hAnsi="Times New Roman" w:cs="Times New Roman"/>
        </w:rPr>
      </w:pPr>
    </w:p>
    <w:sectPr>
      <w:pgSz w:w="16838" w:h="11906" w:orient="landscape"/>
      <w:pgMar w:top="851" w:right="851" w:bottom="1276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21A68"/>
    <w:rsid w:val="000B0E47"/>
    <w:rsid w:val="000D5260"/>
    <w:rsid w:val="00152E3F"/>
    <w:rsid w:val="00196BF7"/>
    <w:rsid w:val="001F495A"/>
    <w:rsid w:val="00204B65"/>
    <w:rsid w:val="003B0258"/>
    <w:rsid w:val="003B6F73"/>
    <w:rsid w:val="004746B8"/>
    <w:rsid w:val="00480091"/>
    <w:rsid w:val="0048052A"/>
    <w:rsid w:val="0049213F"/>
    <w:rsid w:val="00495CBD"/>
    <w:rsid w:val="00496A8C"/>
    <w:rsid w:val="004A0C8B"/>
    <w:rsid w:val="004F36AD"/>
    <w:rsid w:val="0051309A"/>
    <w:rsid w:val="00580423"/>
    <w:rsid w:val="005907BC"/>
    <w:rsid w:val="005B42B6"/>
    <w:rsid w:val="005D264C"/>
    <w:rsid w:val="006302E4"/>
    <w:rsid w:val="00672D97"/>
    <w:rsid w:val="0069235C"/>
    <w:rsid w:val="00753650"/>
    <w:rsid w:val="007914E3"/>
    <w:rsid w:val="007E2380"/>
    <w:rsid w:val="007E70B2"/>
    <w:rsid w:val="008213E8"/>
    <w:rsid w:val="00831824"/>
    <w:rsid w:val="008610D7"/>
    <w:rsid w:val="008718CB"/>
    <w:rsid w:val="00895AE3"/>
    <w:rsid w:val="008E5F9D"/>
    <w:rsid w:val="00957A86"/>
    <w:rsid w:val="00966940"/>
    <w:rsid w:val="009A506F"/>
    <w:rsid w:val="00A21A68"/>
    <w:rsid w:val="00A7603D"/>
    <w:rsid w:val="00A8276B"/>
    <w:rsid w:val="00B11E95"/>
    <w:rsid w:val="00B1619C"/>
    <w:rsid w:val="00B542E1"/>
    <w:rsid w:val="00B751EE"/>
    <w:rsid w:val="00BC4F4B"/>
    <w:rsid w:val="00C502D6"/>
    <w:rsid w:val="00C51CA5"/>
    <w:rsid w:val="00C75021"/>
    <w:rsid w:val="00C81E17"/>
    <w:rsid w:val="00CC412B"/>
    <w:rsid w:val="00CE4ECD"/>
    <w:rsid w:val="00D671C0"/>
    <w:rsid w:val="00D70EC6"/>
    <w:rsid w:val="00DA2F3D"/>
    <w:rsid w:val="00DB4F8B"/>
    <w:rsid w:val="00DF5E01"/>
    <w:rsid w:val="00E02F98"/>
    <w:rsid w:val="00E05A19"/>
    <w:rsid w:val="00E448C9"/>
    <w:rsid w:val="00EB3B79"/>
    <w:rsid w:val="00EC4DED"/>
    <w:rsid w:val="00ED08F9"/>
    <w:rsid w:val="00EF5E2A"/>
    <w:rsid w:val="00F01700"/>
    <w:rsid w:val="00F2261C"/>
    <w:rsid w:val="00F366F5"/>
    <w:rsid w:val="00F44CF3"/>
    <w:rsid w:val="2E557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1"/>
    <w:unhideWhenUsed/>
    <w:uiPriority w:val="99"/>
    <w:pPr>
      <w:spacing w:after="120" w:line="48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6">
    <w:name w:val="Plain Text"/>
    <w:basedOn w:val="1"/>
    <w:link w:val="13"/>
    <w:semiHidden/>
    <w:uiPriority w:val="0"/>
    <w:pPr>
      <w:autoSpaceDE w:val="0"/>
      <w:autoSpaceDN w:val="0"/>
      <w:spacing w:after="0" w:line="240" w:lineRule="auto"/>
    </w:pPr>
    <w:rPr>
      <w:rFonts w:ascii="Courier New" w:hAnsi="Courier New" w:eastAsia="Calibri" w:cs="Courier New"/>
      <w:sz w:val="20"/>
      <w:szCs w:val="20"/>
      <w:lang w:eastAsia="ru-RU"/>
    </w:rPr>
  </w:style>
  <w:style w:type="paragraph" w:styleId="7">
    <w:name w:val="Body Text"/>
    <w:basedOn w:val="1"/>
    <w:link w:val="14"/>
    <w:semiHidden/>
    <w:unhideWhenUsed/>
    <w:uiPriority w:val="99"/>
    <w:pPr>
      <w:spacing w:after="120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Title"/>
    <w:qFormat/>
    <w:uiPriority w:val="0"/>
    <w:pPr>
      <w:widowControl w:val="0"/>
      <w:suppressAutoHyphens/>
      <w:spacing w:after="0" w:line="240" w:lineRule="auto"/>
    </w:pPr>
    <w:rPr>
      <w:rFonts w:eastAsia="Times New Roman" w:cs="Calibri" w:asciiTheme="minorHAnsi" w:hAnsiTheme="minorHAnsi"/>
      <w:b/>
      <w:sz w:val="22"/>
      <w:szCs w:val="20"/>
      <w:lang w:val="ru-RU" w:eastAsia="ru-RU" w:bidi="ar-SA"/>
    </w:rPr>
  </w:style>
  <w:style w:type="character" w:customStyle="1" w:styleId="11">
    <w:name w:val="Основной текст 2 Знак"/>
    <w:basedOn w:val="2"/>
    <w:link w:val="5"/>
    <w:uiPriority w:val="99"/>
    <w:rPr>
      <w:rFonts w:ascii="Arial" w:hAnsi="Arial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Знак"/>
    <w:basedOn w:val="2"/>
    <w:link w:val="6"/>
    <w:semiHidden/>
    <w:uiPriority w:val="0"/>
    <w:rPr>
      <w:rFonts w:ascii="Courier New" w:hAnsi="Courier New" w:eastAsia="Calibri" w:cs="Courier New"/>
      <w:sz w:val="20"/>
      <w:szCs w:val="20"/>
      <w:lang w:eastAsia="ru-RU"/>
    </w:rPr>
  </w:style>
  <w:style w:type="character" w:customStyle="1" w:styleId="14">
    <w:name w:val="Основной текст Знак"/>
    <w:basedOn w:val="2"/>
    <w:link w:val="7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E9AB-DBFB-4E57-866E-7F3F2E85A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8405</Words>
  <Characters>47911</Characters>
  <Lines>399</Lines>
  <Paragraphs>112</Paragraphs>
  <TotalTime>2</TotalTime>
  <ScaleCrop>false</ScaleCrop>
  <LinksUpToDate>false</LinksUpToDate>
  <CharactersWithSpaces>56204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2023-01-23T10:31:00Z</dcterms:created>
  <dc:creator>Windows10</dc:creator>
  <cp:lastModifiedBy>User</cp:lastModifiedBy>
  <cp:lastPrinted>2022-12-21T14:05:00Z</cp:lastPrinted>
  <dcterms:modified xsi:type="dcterms:W3CDTF">2023-01-24T06:25:16Z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568C14AC8C38476AB0A75F8E71EE721A</vt:lpwstr>
  </property>
</Properties>
</file>