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D18A" w14:textId="77777777" w:rsidR="004224A9" w:rsidRPr="00F75BE1" w:rsidRDefault="004224A9" w:rsidP="0042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1859B" w14:textId="77777777" w:rsidR="004224A9" w:rsidRDefault="004224A9" w:rsidP="004224A9">
      <w:pPr>
        <w:spacing w:after="0"/>
        <w:jc w:val="center"/>
      </w:pPr>
      <w:bookmarkStart w:id="0" w:name="_Toc510616989"/>
      <w:r w:rsidRPr="0036355E">
        <w:rPr>
          <w:noProof/>
          <w:lang w:eastAsia="ru-RU"/>
        </w:rPr>
        <w:drawing>
          <wp:inline distT="0" distB="0" distL="0" distR="0" wp14:anchorId="638A15AD" wp14:editId="436E82A9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696C" w14:textId="77777777" w:rsidR="004224A9" w:rsidRPr="007263F9" w:rsidRDefault="004224A9" w:rsidP="004224A9">
      <w:pPr>
        <w:spacing w:after="0"/>
        <w:rPr>
          <w:sz w:val="4"/>
          <w:szCs w:val="4"/>
        </w:rPr>
      </w:pPr>
    </w:p>
    <w:p w14:paraId="606C0D1A" w14:textId="77777777" w:rsidR="004224A9" w:rsidRPr="00D608F0" w:rsidRDefault="004224A9" w:rsidP="004224A9">
      <w:pPr>
        <w:spacing w:after="0"/>
        <w:jc w:val="center"/>
        <w:rPr>
          <w:rFonts w:ascii="Times New Roman" w:hAnsi="Times New Roman"/>
          <w:sz w:val="34"/>
          <w:szCs w:val="34"/>
        </w:rPr>
      </w:pPr>
      <w:proofErr w:type="gramStart"/>
      <w:r w:rsidRPr="00D608F0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D608F0">
        <w:rPr>
          <w:rFonts w:ascii="Times New Roman" w:hAnsi="Times New Roman"/>
          <w:sz w:val="34"/>
          <w:szCs w:val="34"/>
        </w:rPr>
        <w:t xml:space="preserve"> ОКРУГА  ЛЫТКАРИНО </w:t>
      </w:r>
    </w:p>
    <w:p w14:paraId="2C3F997B" w14:textId="77777777" w:rsidR="004224A9" w:rsidRPr="00D608F0" w:rsidRDefault="004224A9" w:rsidP="004224A9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D608F0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D608F0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14:paraId="1EEFC0E7" w14:textId="77777777" w:rsidR="004224A9" w:rsidRPr="007263F9" w:rsidRDefault="004224A9" w:rsidP="004224A9">
      <w:pPr>
        <w:spacing w:after="0"/>
        <w:jc w:val="both"/>
        <w:rPr>
          <w:b/>
          <w:sz w:val="12"/>
          <w:szCs w:val="12"/>
        </w:rPr>
      </w:pPr>
    </w:p>
    <w:p w14:paraId="6EC820C0" w14:textId="77777777" w:rsidR="004224A9" w:rsidRPr="00D608F0" w:rsidRDefault="004224A9" w:rsidP="004224A9">
      <w:pPr>
        <w:spacing w:after="0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14:paraId="0E9D66DB" w14:textId="77777777" w:rsidR="004224A9" w:rsidRPr="005F0D95" w:rsidRDefault="004224A9" w:rsidP="004224A9">
      <w:pPr>
        <w:spacing w:after="0"/>
        <w:jc w:val="both"/>
        <w:rPr>
          <w:sz w:val="4"/>
          <w:szCs w:val="4"/>
          <w:u w:val="single"/>
        </w:rPr>
      </w:pPr>
    </w:p>
    <w:p w14:paraId="477F91D6" w14:textId="77777777" w:rsidR="004224A9" w:rsidRPr="00D608F0" w:rsidRDefault="004224A9" w:rsidP="004224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Pr="00D6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14:paraId="040A9404" w14:textId="77777777" w:rsidR="004224A9" w:rsidRDefault="004224A9" w:rsidP="004224A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14:paraId="24DD05B1" w14:textId="77777777" w:rsidR="004224A9" w:rsidRPr="00D608F0" w:rsidRDefault="004224A9" w:rsidP="004224A9">
      <w:pPr>
        <w:spacing w:after="0"/>
        <w:rPr>
          <w:rFonts w:ascii="Times New Roman" w:hAnsi="Times New Roman"/>
          <w:sz w:val="28"/>
          <w:szCs w:val="28"/>
        </w:rPr>
      </w:pPr>
    </w:p>
    <w:p w14:paraId="4E301F88" w14:textId="77777777" w:rsidR="004224A9" w:rsidRPr="00DC294D" w:rsidRDefault="004224A9" w:rsidP="004224A9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14:paraId="27368225" w14:textId="77777777" w:rsidR="004224A9" w:rsidRDefault="004224A9" w:rsidP="004224A9">
      <w:pPr>
        <w:spacing w:after="0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294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B49C6">
        <w:rPr>
          <w:rFonts w:ascii="Times New Roman" w:hAnsi="Times New Roman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</w:p>
    <w:p w14:paraId="712B81D5" w14:textId="77777777" w:rsidR="004224A9" w:rsidRPr="00DC294D" w:rsidRDefault="004224A9" w:rsidP="004224A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2D20B1A8" w14:textId="77777777" w:rsidR="004224A9" w:rsidRDefault="004224A9" w:rsidP="004224A9">
      <w:pPr>
        <w:spacing w:after="0" w:line="288" w:lineRule="auto"/>
        <w:ind w:left="284" w:firstLine="567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 xml:space="preserve">лавы города Лыткарино от 07.12.2010 №489-п «О порядке разработки и утверждения административных регламентов предоставления муниципальных услуг в </w:t>
      </w:r>
      <w:proofErr w:type="spellStart"/>
      <w:r w:rsidRPr="00D608F0">
        <w:rPr>
          <w:rStyle w:val="FontStyle46"/>
          <w:sz w:val="28"/>
          <w:szCs w:val="28"/>
        </w:rPr>
        <w:t>г.Лыткарино</w:t>
      </w:r>
      <w:proofErr w:type="spellEnd"/>
      <w:r w:rsidRPr="00D608F0">
        <w:rPr>
          <w:rStyle w:val="FontStyle46"/>
          <w:sz w:val="28"/>
          <w:szCs w:val="28"/>
        </w:rPr>
        <w:t>»</w:t>
      </w:r>
      <w:r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с учетом письма</w:t>
      </w:r>
      <w:r>
        <w:rPr>
          <w:rStyle w:val="FontStyle46"/>
          <w:rFonts w:eastAsia="Arial"/>
          <w:sz w:val="28"/>
          <w:szCs w:val="28"/>
        </w:rPr>
        <w:t xml:space="preserve">  Комитета по архитектуре и градостроительству Московской области от 23</w:t>
      </w:r>
      <w:r w:rsidRPr="00094B0A">
        <w:rPr>
          <w:rStyle w:val="FontStyle46"/>
          <w:rFonts w:eastAsia="Arial"/>
          <w:sz w:val="28"/>
          <w:szCs w:val="28"/>
        </w:rPr>
        <w:t>.</w:t>
      </w:r>
      <w:r>
        <w:rPr>
          <w:rStyle w:val="FontStyle46"/>
          <w:rFonts w:eastAsia="Arial"/>
          <w:sz w:val="28"/>
          <w:szCs w:val="28"/>
        </w:rPr>
        <w:t>06</w:t>
      </w:r>
      <w:r w:rsidRPr="00094B0A">
        <w:rPr>
          <w:rStyle w:val="FontStyle46"/>
          <w:rFonts w:eastAsia="Arial"/>
          <w:sz w:val="28"/>
          <w:szCs w:val="28"/>
        </w:rPr>
        <w:t>.202</w:t>
      </w:r>
      <w:r>
        <w:rPr>
          <w:rStyle w:val="FontStyle46"/>
          <w:rFonts w:eastAsia="Arial"/>
          <w:sz w:val="28"/>
          <w:szCs w:val="28"/>
        </w:rPr>
        <w:t>3</w:t>
      </w:r>
      <w:r w:rsidRPr="00094B0A">
        <w:rPr>
          <w:rStyle w:val="FontStyle46"/>
          <w:rFonts w:eastAsia="Arial"/>
          <w:sz w:val="28"/>
          <w:szCs w:val="28"/>
        </w:rPr>
        <w:t xml:space="preserve"> №2</w:t>
      </w:r>
      <w:r>
        <w:rPr>
          <w:rStyle w:val="FontStyle46"/>
          <w:rFonts w:eastAsia="Arial"/>
          <w:sz w:val="28"/>
          <w:szCs w:val="28"/>
        </w:rPr>
        <w:t>9</w:t>
      </w:r>
      <w:r w:rsidRPr="00094B0A">
        <w:rPr>
          <w:rStyle w:val="FontStyle46"/>
          <w:rFonts w:eastAsia="Arial"/>
          <w:sz w:val="28"/>
          <w:szCs w:val="28"/>
        </w:rPr>
        <w:t>Исх-</w:t>
      </w:r>
      <w:r>
        <w:rPr>
          <w:rStyle w:val="FontStyle46"/>
          <w:rFonts w:eastAsia="Arial"/>
          <w:sz w:val="28"/>
          <w:szCs w:val="28"/>
        </w:rPr>
        <w:t>9189</w:t>
      </w:r>
      <w:r w:rsidRPr="00094B0A">
        <w:rPr>
          <w:rStyle w:val="FontStyle46"/>
          <w:rFonts w:eastAsia="Arial"/>
          <w:sz w:val="28"/>
          <w:szCs w:val="28"/>
        </w:rPr>
        <w:t>/17-0</w:t>
      </w:r>
      <w:r>
        <w:rPr>
          <w:rStyle w:val="FontStyle46"/>
          <w:rFonts w:eastAsia="Arial"/>
          <w:sz w:val="28"/>
          <w:szCs w:val="28"/>
        </w:rPr>
        <w:t>1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14:paraId="5A4C3573" w14:textId="77777777" w:rsidR="004224A9" w:rsidRDefault="004224A9" w:rsidP="004224A9">
      <w:pPr>
        <w:spacing w:after="0" w:line="288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D608F0">
        <w:rPr>
          <w:rFonts w:ascii="Times New Roman" w:hAnsi="Times New Roman"/>
          <w:sz w:val="28"/>
          <w:szCs w:val="28"/>
        </w:rPr>
        <w:t>Административный регламент</w:t>
      </w:r>
      <w:r w:rsidRPr="00A9584E">
        <w:rPr>
          <w:rFonts w:ascii="Times New Roman" w:hAnsi="Times New Roman"/>
          <w:sz w:val="28"/>
          <w:szCs w:val="28"/>
        </w:rPr>
        <w:t xml:space="preserve"> </w:t>
      </w:r>
      <w:r w:rsidRPr="00DC294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5B49C6">
        <w:rPr>
          <w:rFonts w:ascii="Times New Roman" w:hAnsi="Times New Roman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608F0">
        <w:rPr>
          <w:rFonts w:ascii="Times New Roman" w:hAnsi="Times New Roman"/>
          <w:sz w:val="28"/>
          <w:szCs w:val="28"/>
        </w:rPr>
        <w:t xml:space="preserve"> </w:t>
      </w:r>
    </w:p>
    <w:p w14:paraId="38AB5831" w14:textId="77777777" w:rsidR="004224A9" w:rsidRDefault="004224A9" w:rsidP="004224A9">
      <w:pPr>
        <w:spacing w:after="0" w:line="288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14:paraId="20631A5B" w14:textId="77777777" w:rsidR="004224A9" w:rsidRPr="00D608F0" w:rsidRDefault="004224A9" w:rsidP="004224A9">
      <w:pPr>
        <w:spacing w:after="0" w:line="288" w:lineRule="auto"/>
        <w:ind w:left="284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Заместителю н</w:t>
      </w:r>
      <w:r w:rsidRPr="00D80D52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D80D52">
        <w:rPr>
          <w:rFonts w:ascii="Times New Roman" w:hAnsi="Times New Roman"/>
          <w:sz w:val="28"/>
          <w:szCs w:val="28"/>
        </w:rPr>
        <w:t xml:space="preserve"> отдела архитектуры, градостроительства и инвестиционной политики (</w:t>
      </w:r>
      <w:r>
        <w:rPr>
          <w:rFonts w:ascii="Times New Roman" w:hAnsi="Times New Roman"/>
          <w:sz w:val="28"/>
          <w:szCs w:val="28"/>
        </w:rPr>
        <w:t>Орлов С.Ю</w:t>
      </w:r>
      <w:r w:rsidRPr="00D80D52">
        <w:rPr>
          <w:rFonts w:ascii="Times New Roman" w:hAnsi="Times New Roman"/>
          <w:sz w:val="28"/>
          <w:szCs w:val="28"/>
        </w:rPr>
        <w:t>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14F6E4A3" w14:textId="77777777" w:rsidR="004224A9" w:rsidRDefault="004224A9" w:rsidP="004224A9">
      <w:pPr>
        <w:pStyle w:val="afb"/>
        <w:spacing w:after="0" w:line="288" w:lineRule="auto"/>
        <w:ind w:left="284" w:firstLine="567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D608F0">
        <w:rPr>
          <w:szCs w:val="28"/>
        </w:rPr>
        <w:t>. Контроль за исполнением настоящего постанов</w:t>
      </w:r>
      <w:r>
        <w:rPr>
          <w:szCs w:val="28"/>
        </w:rPr>
        <w:t>ления возложить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 заместителя </w:t>
      </w:r>
      <w:r>
        <w:rPr>
          <w:szCs w:val="28"/>
          <w:lang w:val="ru-RU"/>
        </w:rPr>
        <w:t>г</w:t>
      </w:r>
      <w:r w:rsidRPr="00D608F0">
        <w:rPr>
          <w:szCs w:val="28"/>
        </w:rPr>
        <w:t>лавы Администрации городского округа Лыткарино</w:t>
      </w:r>
      <w:r>
        <w:rPr>
          <w:szCs w:val="28"/>
          <w:lang w:val="ru-RU"/>
        </w:rPr>
        <w:t xml:space="preserve"> </w:t>
      </w:r>
      <w:r w:rsidRPr="00D608F0">
        <w:rPr>
          <w:szCs w:val="28"/>
        </w:rPr>
        <w:t xml:space="preserve">В.С. </w:t>
      </w:r>
      <w:proofErr w:type="spellStart"/>
      <w:r w:rsidRPr="00D608F0">
        <w:rPr>
          <w:szCs w:val="28"/>
        </w:rPr>
        <w:t>Трещинкина</w:t>
      </w:r>
      <w:proofErr w:type="spellEnd"/>
      <w:r w:rsidRPr="00D608F0">
        <w:rPr>
          <w:szCs w:val="28"/>
        </w:rPr>
        <w:t>.</w:t>
      </w:r>
      <w:r>
        <w:rPr>
          <w:szCs w:val="28"/>
        </w:rPr>
        <w:t xml:space="preserve">                                             </w:t>
      </w:r>
    </w:p>
    <w:p w14:paraId="5EADF0F1" w14:textId="77777777" w:rsidR="004224A9" w:rsidRDefault="004224A9" w:rsidP="004224A9">
      <w:pPr>
        <w:pStyle w:val="afb"/>
        <w:spacing w:after="0" w:line="288" w:lineRule="auto"/>
        <w:ind w:left="284" w:firstLine="567"/>
        <w:jc w:val="both"/>
        <w:rPr>
          <w:szCs w:val="28"/>
        </w:rPr>
      </w:pPr>
    </w:p>
    <w:p w14:paraId="52014270" w14:textId="77777777" w:rsidR="004224A9" w:rsidRDefault="004224A9" w:rsidP="004224A9">
      <w:pPr>
        <w:pStyle w:val="afb"/>
        <w:spacing w:after="0" w:line="288" w:lineRule="auto"/>
        <w:ind w:left="284" w:firstLine="567"/>
        <w:jc w:val="both"/>
        <w:rPr>
          <w:szCs w:val="28"/>
        </w:rPr>
      </w:pPr>
    </w:p>
    <w:p w14:paraId="155EAA51" w14:textId="77777777" w:rsidR="004224A9" w:rsidRDefault="004224A9" w:rsidP="004224A9">
      <w:pPr>
        <w:pStyle w:val="afb"/>
        <w:spacing w:after="0" w:line="288" w:lineRule="auto"/>
        <w:ind w:left="284" w:firstLine="567"/>
        <w:jc w:val="both"/>
        <w:rPr>
          <w:szCs w:val="28"/>
        </w:rPr>
      </w:pPr>
    </w:p>
    <w:p w14:paraId="6BB8A0EB" w14:textId="77777777" w:rsidR="004224A9" w:rsidRDefault="004224A9" w:rsidP="004224A9">
      <w:pPr>
        <w:pStyle w:val="afb"/>
        <w:spacing w:after="0" w:line="288" w:lineRule="auto"/>
        <w:ind w:left="284" w:firstLine="567"/>
        <w:jc w:val="both"/>
        <w:rPr>
          <w:szCs w:val="28"/>
        </w:rPr>
      </w:pPr>
    </w:p>
    <w:p w14:paraId="250239C1" w14:textId="77777777" w:rsidR="004224A9" w:rsidRDefault="004224A9" w:rsidP="004224A9">
      <w:pPr>
        <w:pStyle w:val="afb"/>
        <w:spacing w:after="0" w:line="288" w:lineRule="auto"/>
        <w:ind w:left="284" w:firstLine="567"/>
        <w:jc w:val="both"/>
        <w:rPr>
          <w:szCs w:val="28"/>
        </w:rPr>
      </w:pPr>
    </w:p>
    <w:p w14:paraId="616E679E" w14:textId="77777777" w:rsidR="004224A9" w:rsidRDefault="004224A9" w:rsidP="004224A9">
      <w:pPr>
        <w:pStyle w:val="afb"/>
        <w:spacing w:after="0" w:line="288" w:lineRule="auto"/>
        <w:ind w:left="0"/>
        <w:jc w:val="right"/>
      </w:pPr>
      <w:r>
        <w:rPr>
          <w:szCs w:val="28"/>
        </w:rPr>
        <w:t xml:space="preserve">  К.А. Кравцов</w:t>
      </w:r>
      <w:bookmarkEnd w:id="0"/>
    </w:p>
    <w:p w14:paraId="3224B55C" w14:textId="77777777" w:rsidR="003465BD" w:rsidRPr="004224A9" w:rsidRDefault="003465BD" w:rsidP="00F40970">
      <w:pPr>
        <w:spacing w:after="0"/>
        <w:rPr>
          <w:rFonts w:ascii="Times New Roman" w:hAnsi="Times New Roman" w:cs="Times New Roman"/>
          <w:sz w:val="28"/>
          <w:szCs w:val="28"/>
          <w:lang w:val="x-none"/>
        </w:rPr>
      </w:pPr>
      <w:bookmarkStart w:id="1" w:name="_GoBack"/>
      <w:bookmarkEnd w:id="1"/>
    </w:p>
    <w:p w14:paraId="454E6888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1503F" w14:textId="224EE294" w:rsidR="00874FCF" w:rsidRPr="006406C7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br/>
      </w:r>
      <w:r w:rsidR="00EF6C2C" w:rsidRPr="006406C7">
        <w:rPr>
          <w:rFonts w:ascii="Times New Roman" w:hAnsi="Times New Roman" w:cs="Times New Roman"/>
          <w:sz w:val="28"/>
          <w:szCs w:val="28"/>
        </w:rPr>
        <w:t>А</w:t>
      </w:r>
      <w:r w:rsidRPr="006406C7">
        <w:rPr>
          <w:rFonts w:ascii="Times New Roman" w:hAnsi="Times New Roman" w:cs="Times New Roman"/>
          <w:sz w:val="28"/>
          <w:szCs w:val="28"/>
        </w:rPr>
        <w:t>дминистративн</w:t>
      </w:r>
      <w:r w:rsidR="00107280">
        <w:rPr>
          <w:rFonts w:ascii="Times New Roman" w:hAnsi="Times New Roman" w:cs="Times New Roman"/>
          <w:sz w:val="28"/>
          <w:szCs w:val="28"/>
        </w:rPr>
        <w:t>ый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55D8931A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7EAB3884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9D7DC22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185822B0" w:rsidR="00AA21BB" w:rsidRPr="00AA21BB" w:rsidRDefault="00DD48B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2050E847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3F7A1030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53A6EFD7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4FFDE8C5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0E5322A5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7B10653E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58FEAAA1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58F25FF8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10CFE0D1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18BE9E45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684C48C8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632F22BC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18D73861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11ED1998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55CACC4A" w:rsidR="00AA21BB" w:rsidRPr="00AA21BB" w:rsidRDefault="00DD48B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57E6EBBF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6AC30B6D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05FC3338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38683FAD" w:rsidR="00AA21BB" w:rsidRPr="00AA21BB" w:rsidRDefault="00DD48B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1B55D5B8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7E93BE60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lastRenderedPageBreak/>
              <w:t xml:space="preserve">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2FA3F49B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54305CA8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049CB460" w:rsidR="00AA21BB" w:rsidRPr="00AA21BB" w:rsidRDefault="00DD48B1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D9D28DB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2CB00253" w:rsidR="00AA21BB" w:rsidRPr="00AA21BB" w:rsidRDefault="00DD48B1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40166AD4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66924E51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1C89D500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9B97816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3B17984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51FE9934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7BE39EBE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5B9ED91" w:rsidR="00AA21BB" w:rsidRPr="00AA21BB" w:rsidRDefault="00DD48B1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32620348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2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3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441E50C5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45145D">
        <w:rPr>
          <w:rFonts w:ascii="Times New Roman" w:hAnsi="Times New Roman" w:cs="Times New Roman"/>
          <w:sz w:val="28"/>
          <w:szCs w:val="28"/>
        </w:rPr>
        <w:t>городского округа Лыткарино Московско</w:t>
      </w:r>
      <w:r w:rsidR="00FD43D3">
        <w:rPr>
          <w:rFonts w:ascii="Times New Roman" w:hAnsi="Times New Roman" w:cs="Times New Roman"/>
          <w:sz w:val="28"/>
          <w:szCs w:val="28"/>
        </w:rPr>
        <w:t>й</w:t>
      </w:r>
      <w:r w:rsidR="004514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0CB84FDB" w:rsidR="00977E65" w:rsidRPr="003D6051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="0073187A">
        <w:rPr>
          <w:rFonts w:ascii="Times New Roman" w:hAnsi="Times New Roman" w:cs="Times New Roman"/>
          <w:color w:val="000000"/>
          <w:sz w:val="28"/>
          <w:szCs w:val="28"/>
        </w:rPr>
        <w:t>3 года.</w:t>
      </w:r>
    </w:p>
    <w:p w14:paraId="0FE56D83" w14:textId="77777777" w:rsidR="00EB3AA8" w:rsidRDefault="00EB3AA8" w:rsidP="006953F1">
      <w:pPr>
        <w:spacing w:after="0"/>
        <w:sectPr w:rsidR="00EB3AA8" w:rsidSect="002D2FA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4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5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7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49443624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5E2C8C" w:rsidRPr="005E2C8C">
        <w:rPr>
          <w:rFonts w:ascii="Times New Roman" w:hAnsi="Times New Roman" w:cs="Times New Roman"/>
          <w:sz w:val="28"/>
          <w:szCs w:val="28"/>
        </w:rPr>
        <w:t xml:space="preserve"> </w:t>
      </w:r>
      <w:r w:rsidR="005E2C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378D7">
        <w:rPr>
          <w:rFonts w:ascii="Times New Roman" w:hAnsi="Times New Roman" w:cs="Times New Roman"/>
          <w:sz w:val="28"/>
          <w:szCs w:val="28"/>
        </w:rPr>
        <w:t>Лыткарино</w:t>
      </w:r>
      <w:r w:rsidR="00DE0681" w:rsidRPr="00750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1178">
        <w:rPr>
          <w:rFonts w:ascii="Times New Roman" w:hAnsi="Times New Roman" w:cs="Times New Roman"/>
          <w:i/>
          <w:sz w:val="28"/>
          <w:szCs w:val="28"/>
        </w:rPr>
        <w:br/>
      </w:r>
      <w:r w:rsidR="00DE0681" w:rsidRPr="0075049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721382D3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>униципальной услуги осуществля</w:t>
      </w:r>
      <w:r w:rsidR="00B378D7">
        <w:rPr>
          <w:rFonts w:ascii="Times New Roman" w:hAnsi="Times New Roman" w:cs="Times New Roman"/>
          <w:sz w:val="28"/>
          <w:szCs w:val="28"/>
        </w:rPr>
        <w:t>е</w:t>
      </w:r>
      <w:r w:rsidR="00D540A1" w:rsidRPr="00D540A1">
        <w:rPr>
          <w:rFonts w:ascii="Times New Roman" w:hAnsi="Times New Roman" w:cs="Times New Roman"/>
          <w:sz w:val="28"/>
          <w:szCs w:val="28"/>
        </w:rPr>
        <w:t>т структурн</w:t>
      </w:r>
      <w:r w:rsidR="00B378D7">
        <w:rPr>
          <w:rFonts w:ascii="Times New Roman" w:hAnsi="Times New Roman" w:cs="Times New Roman"/>
          <w:sz w:val="28"/>
          <w:szCs w:val="28"/>
        </w:rPr>
        <w:t>о</w:t>
      </w:r>
      <w:r w:rsidR="00D540A1" w:rsidRPr="00D540A1">
        <w:rPr>
          <w:rFonts w:ascii="Times New Roman" w:hAnsi="Times New Roman" w:cs="Times New Roman"/>
          <w:sz w:val="28"/>
          <w:szCs w:val="28"/>
        </w:rPr>
        <w:t>е подразделени</w:t>
      </w:r>
      <w:r w:rsidR="00B378D7">
        <w:rPr>
          <w:rFonts w:ascii="Times New Roman" w:hAnsi="Times New Roman" w:cs="Times New Roman"/>
          <w:sz w:val="28"/>
          <w:szCs w:val="28"/>
        </w:rPr>
        <w:t>е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 Администрации –</w:t>
      </w:r>
      <w:r w:rsidR="00B378D7">
        <w:rPr>
          <w:rFonts w:ascii="Times New Roman" w:hAnsi="Times New Roman" w:cs="Times New Roman"/>
          <w:sz w:val="28"/>
          <w:szCs w:val="28"/>
        </w:rPr>
        <w:t xml:space="preserve"> отдел архитектуры, градостроительства и инвестиционной политики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4FE54234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r w:rsidR="00B378D7" w:rsidRPr="00B378D7">
        <w:rPr>
          <w:iCs/>
          <w:lang w:eastAsia="ar-SA"/>
        </w:rPr>
        <w:t>http://lytkarino.com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lastRenderedPageBreak/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FA6EA2B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6" w:name="_Toc1326203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7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7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lastRenderedPageBreak/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9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1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3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3262036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4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5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6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7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7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8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3262036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9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30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1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3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</w:t>
      </w:r>
      <w:r w:rsidRPr="006406C7">
        <w:rPr>
          <w:lang w:eastAsia="zh-CN"/>
        </w:rPr>
        <w:lastRenderedPageBreak/>
        <w:t xml:space="preserve">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4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lastRenderedPageBreak/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5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5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6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7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54D1E324" w:rsidR="00CE5920" w:rsidRPr="00750494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</w:t>
      </w:r>
      <w:r w:rsidR="003357BC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заявителю денежных средств, взимание которых не предусмотрено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8" w:name="p0"/>
      <w:bookmarkEnd w:id="38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9" w:name="_Toc40976864"/>
      <w:bookmarkStart w:id="40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9"/>
      <w:bookmarkEnd w:id="40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1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1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2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2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3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3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68180BF3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3357BC">
        <w:rPr>
          <w:b w:val="0"/>
          <w:sz w:val="28"/>
          <w:szCs w:val="28"/>
        </w:rPr>
        <w:t>городского округа Лыткарино</w:t>
      </w:r>
      <w:r w:rsidRPr="00750494">
        <w:rPr>
          <w:b w:val="0"/>
          <w:sz w:val="28"/>
          <w:szCs w:val="28"/>
        </w:rPr>
        <w:t xml:space="preserve"> 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E31C" w14:textId="77777777" w:rsidR="003357BC" w:rsidRPr="003357BC" w:rsidRDefault="003357BC" w:rsidP="003357BC">
            <w:pPr>
              <w:tabs>
                <w:tab w:val="left" w:pos="1034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5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14:paraId="1E963252" w14:textId="01517022" w:rsidR="00AC72C3" w:rsidRDefault="003357BC" w:rsidP="003357B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 Лыткарино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4" w:name="_Toc132620380"/>
      <w:r w:rsidR="00D861B0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4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6406C7" w:rsidRDefault="00D861B0" w:rsidP="00EB3AA8">
      <w:pPr>
        <w:pStyle w:val="af3"/>
        <w:ind w:left="5245"/>
        <w:jc w:val="left"/>
        <w:rPr>
          <w:b w:val="0"/>
        </w:rPr>
      </w:pPr>
      <w:r w:rsidRPr="006406C7">
        <w:rPr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5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5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04DC88BC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 xml:space="preserve">В соответствии с </w:t>
      </w:r>
      <w:proofErr w:type="spellStart"/>
      <w:r w:rsidR="003357BC" w:rsidRPr="003357BC">
        <w:rPr>
          <w:rStyle w:val="24"/>
          <w:sz w:val="28"/>
          <w:szCs w:val="28"/>
        </w:rPr>
        <w:t>с</w:t>
      </w:r>
      <w:proofErr w:type="spellEnd"/>
      <w:r w:rsidR="003357BC" w:rsidRPr="003357BC">
        <w:rPr>
          <w:rStyle w:val="24"/>
          <w:sz w:val="28"/>
          <w:szCs w:val="28"/>
        </w:rPr>
        <w:t xml:space="preserve"> пунктом _____ (указывается номер пункта) административного регламента по предоставлению Муниципальной услуги, утвержденного постановлением ______ (указывается кем утвержден муниципальный правовой акт, его дата, номер и наименование) (далее по тексту – Административный регламент)</w:t>
      </w:r>
      <w:r w:rsidR="003357BC">
        <w:rPr>
          <w:rStyle w:val="24"/>
          <w:sz w:val="28"/>
          <w:szCs w:val="28"/>
        </w:rPr>
        <w:t xml:space="preserve">,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</w:t>
      </w:r>
      <w:r w:rsidR="003357BC">
        <w:rPr>
          <w:rStyle w:val="24"/>
          <w:sz w:val="28"/>
          <w:szCs w:val="28"/>
        </w:rPr>
        <w:t>городского округа Лыткарино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 xml:space="preserve">прилегающей </w:t>
      </w:r>
      <w:r w:rsidR="00EB3AA8">
        <w:rPr>
          <w:rStyle w:val="24"/>
          <w:sz w:val="28"/>
          <w:szCs w:val="28"/>
        </w:rPr>
        <w:br/>
      </w:r>
      <w:r w:rsidR="00C418DF" w:rsidRPr="00C418DF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lastRenderedPageBreak/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3E332164" w:rsidR="00A63C59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4A94C66E" w14:textId="488D4047" w:rsidR="00306854" w:rsidRDefault="00306854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DE7C738" w14:textId="128E598A" w:rsidR="00306854" w:rsidRDefault="00306854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7A0DB0D6" w14:textId="77777777" w:rsidR="00306854" w:rsidRPr="006406C7" w:rsidRDefault="00306854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6" w:name="_Toc132620382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6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7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7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8" w:name="_Toc13262038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8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9" w:name="_Toc510617029"/>
      <w:bookmarkStart w:id="50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1" w:name="_Toc132620385"/>
      <w:r w:rsidRPr="006406C7">
        <w:rPr>
          <w:rStyle w:val="24"/>
          <w:sz w:val="28"/>
          <w:szCs w:val="28"/>
        </w:rPr>
        <w:t>Форма запроса</w:t>
      </w:r>
      <w:bookmarkEnd w:id="49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1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50"/>
    <w:p w14:paraId="0F01B44A" w14:textId="7DF3C2CE" w:rsidR="00360089" w:rsidRPr="00306854" w:rsidRDefault="00360089" w:rsidP="00306854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306854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городского округа Лыткарино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2" w:name="_Toc132620386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2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3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3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</w:t>
            </w:r>
            <w:r w:rsidRPr="006406C7">
              <w:rPr>
                <w:sz w:val="24"/>
                <w:szCs w:val="24"/>
              </w:rPr>
              <w:lastRenderedPageBreak/>
              <w:t xml:space="preserve">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4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4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5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6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6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7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7"/>
    </w:p>
    <w:bookmarkEnd w:id="55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8353B5" w14:textId="4A031E75" w:rsidR="003D6051" w:rsidRPr="003D6051" w:rsidRDefault="007E120F" w:rsidP="003D605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 xml:space="preserve">В соответствии </w:t>
      </w:r>
      <w:r w:rsidR="003D6051" w:rsidRPr="003D6051">
        <w:rPr>
          <w:rStyle w:val="24"/>
          <w:b w:val="0"/>
          <w:sz w:val="28"/>
          <w:szCs w:val="28"/>
        </w:rPr>
        <w:t xml:space="preserve">с пунктом _____ (указывается номер пункта) административного регламента по предоставлению Муниципальной услуги, утвержденного постановлением ______ (указывается кем утвержден муниципальный правовой акт, его дата, номер и наименование) (далее по тексту – Административный регламент), Администрация городского округа Лыткарино (далее – Администрация) рассмотрела запрос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</w:t>
      </w:r>
    </w:p>
    <w:p w14:paraId="1DC4E2FA" w14:textId="782F51D1" w:rsidR="007E120F" w:rsidRPr="006D5289" w:rsidRDefault="003D6051" w:rsidP="003D605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3D6051">
        <w:rPr>
          <w:rStyle w:val="24"/>
          <w:b w:val="0"/>
          <w:sz w:val="28"/>
          <w:szCs w:val="28"/>
        </w:rPr>
        <w:t>к ним на основании правоустанавливающих документов территории»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8" w:name="_Toc132620391"/>
      <w:bookmarkStart w:id="59" w:name="_Hlk126747598"/>
      <w:r w:rsidRPr="009F528B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8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9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0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60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1" w:name="_Toc132620393"/>
      <w:r w:rsidRPr="00F759B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1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2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услуги, предусмотренных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градостроительства Московской области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33D2" w14:textId="77777777" w:rsidR="00DD48B1" w:rsidRDefault="00DD48B1" w:rsidP="00F40970">
      <w:pPr>
        <w:spacing w:after="0" w:line="240" w:lineRule="auto"/>
      </w:pPr>
      <w:r>
        <w:separator/>
      </w:r>
    </w:p>
  </w:endnote>
  <w:endnote w:type="continuationSeparator" w:id="0">
    <w:p w14:paraId="4874D096" w14:textId="77777777" w:rsidR="00DD48B1" w:rsidRDefault="00DD48B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7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28863BC9" w:rsidR="0045145D" w:rsidRPr="002432AA" w:rsidRDefault="0045145D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78D27FFE" w:rsidR="0045145D" w:rsidRPr="002432AA" w:rsidRDefault="0045145D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773A" w14:textId="77777777" w:rsidR="00DD48B1" w:rsidRDefault="00DD48B1" w:rsidP="00F40970">
      <w:pPr>
        <w:spacing w:after="0" w:line="240" w:lineRule="auto"/>
      </w:pPr>
      <w:r>
        <w:separator/>
      </w:r>
    </w:p>
  </w:footnote>
  <w:footnote w:type="continuationSeparator" w:id="0">
    <w:p w14:paraId="6AE08AA8" w14:textId="77777777" w:rsidR="00DD48B1" w:rsidRDefault="00DD48B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6103" w14:textId="77777777" w:rsidR="0045145D" w:rsidRPr="00E57E03" w:rsidRDefault="0045145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28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06854"/>
    <w:rsid w:val="00314B85"/>
    <w:rsid w:val="003158CF"/>
    <w:rsid w:val="00317F29"/>
    <w:rsid w:val="00320609"/>
    <w:rsid w:val="0032161C"/>
    <w:rsid w:val="0032387A"/>
    <w:rsid w:val="00323DF2"/>
    <w:rsid w:val="00332D01"/>
    <w:rsid w:val="003357BC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D6051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24A9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145D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2C8C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187A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9D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378D7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08D1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48B1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37FF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3F7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3D3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nhideWhenUsed/>
    <w:rsid w:val="004224A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rsid w:val="004224A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4224A9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78C-AFBE-4082-AA08-03F7F733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52</Pages>
  <Words>12831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Владелец</cp:lastModifiedBy>
  <cp:revision>16</cp:revision>
  <dcterms:created xsi:type="dcterms:W3CDTF">2023-04-17T06:56:00Z</dcterms:created>
  <dcterms:modified xsi:type="dcterms:W3CDTF">2023-07-05T07:45:00Z</dcterms:modified>
</cp:coreProperties>
</file>