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утверждена приказом КУИ г.Лыткарино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                                                                                                   от  __________________№ 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bookmarkStart w:id="2" w:name="OLE_LINK1"/>
      <w:r>
        <w:rPr>
          <w:rFonts w:ascii="Times New Roman" w:hAnsi="Times New Roman"/>
          <w:sz w:val="24"/>
          <w:szCs w:val="24"/>
          <w:highlight w:val="none"/>
          <w:lang w:val="ru-RU"/>
        </w:rPr>
        <w:t>П</w:t>
      </w:r>
      <w:r>
        <w:rPr>
          <w:rFonts w:ascii="Times New Roman" w:hAnsi="Times New Roman"/>
          <w:sz w:val="24"/>
          <w:szCs w:val="24"/>
          <w:highlight w:val="none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ограмма профилактики </w:t>
      </w:r>
      <w:bookmarkStart w:id="3" w:name="OLE_LINK23"/>
      <w:bookmarkStart w:id="4" w:name="OLE_LINK22"/>
      <w:r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hint="default" w:ascii="Times New Roman" w:hAnsi="Times New Roman"/>
          <w:sz w:val="24"/>
          <w:szCs w:val="24"/>
          <w:lang w:val="ru-RU"/>
        </w:rPr>
        <w:t>Комитета по управлению имуществом г.Лыткарино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pacing w:before="0"/>
        <w:ind w:right="29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11"/>
        <w:spacing w:before="6"/>
        <w:ind w:left="0" w:firstLine="0"/>
        <w:jc w:val="left"/>
        <w:rPr>
          <w:sz w:val="17"/>
        </w:rPr>
      </w:pPr>
    </w:p>
    <w:tbl>
      <w:tblPr>
        <w:tblStyle w:val="18"/>
        <w:tblW w:w="0" w:type="auto"/>
        <w:tblInd w:w="45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73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tabs>
                <w:tab w:val="left" w:pos="885"/>
              </w:tabs>
              <w:spacing w:line="264" w:lineRule="exact"/>
              <w:ind w:left="110" w:right="189" w:rightChars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рограмма профилактики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 </w:t>
            </w:r>
            <w:r>
              <w:rPr>
                <w:rFonts w:ascii="Times New Roman" w:hAnsi="Times New Roman" w:eastAsia="Times New Roman" w:cs="Times New Roman"/>
                <w:sz w:val="24"/>
              </w:rPr>
              <w:t>на 202</w:t>
            </w:r>
            <w:r>
              <w:rPr>
                <w:rFonts w:hint="default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год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(далее - программа профилактики).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Федеральный закон от 31.07.2020 № 248-ФЗ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Разработчик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(далее – орган муниципального земельного контроля)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о способах их соблюдения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и необходимых мерах по их исполнению;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5. Повышение квалификации кадрового состава органа муниципального земельного контроля;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ind w:left="107" w:leftChars="0" w:right="48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spacing w:line="268" w:lineRule="exact"/>
              <w:ind w:left="107" w:lef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spacing w:line="268" w:lineRule="exact"/>
              <w:ind w:left="107" w:leftChars="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7. Повышение прозрачности деятельности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>
      <w:pPr>
        <w:pStyle w:val="11"/>
        <w:spacing w:before="2"/>
        <w:ind w:left="0" w:firstLine="0"/>
        <w:jc w:val="left"/>
        <w:rPr>
          <w:sz w:val="10"/>
        </w:rPr>
      </w:pPr>
    </w:p>
    <w:p>
      <w:pPr>
        <w:spacing w:line="270" w:lineRule="atLeast"/>
        <w:jc w:val="both"/>
        <w:rPr>
          <w:sz w:val="24"/>
        </w:rPr>
        <w:sectPr>
          <w:headerReference r:id="rId3" w:type="first"/>
          <w:footerReference r:id="rId5" w:type="first"/>
          <w:footerReference r:id="rId4" w:type="default"/>
          <w:pgSz w:w="11900" w:h="16850"/>
          <w:pgMar w:top="340" w:right="300" w:bottom="280" w:left="600" w:header="710" w:footer="0" w:gutter="0"/>
          <w:cols w:space="720" w:num="1"/>
        </w:sectPr>
      </w:pPr>
    </w:p>
    <w:p>
      <w:pPr>
        <w:pStyle w:val="4"/>
        <w:spacing w:before="129" w:line="295" w:lineRule="exact"/>
        <w:ind w:left="13" w:leftChars="0" w:firstLine="647" w:firstLineChars="0"/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  <w:szCs w:val="24"/>
        </w:rPr>
        <w:t xml:space="preserve">Раздел 1.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after="0"/>
        <w:ind w:right="467" w:firstLine="567"/>
        <w:jc w:val="both"/>
        <w:rPr>
          <w:i/>
          <w:sz w:val="26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Контролируемыми лицами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в сфере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 земельного контроля</w:t>
      </w:r>
      <w:r>
        <w:rPr>
          <w:rFonts w:ascii="Times New Roman" w:hAnsi="Times New Roman" w:eastAsia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юридические лица, индивидуальные предприниматели и граждане.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Объектами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земельного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контроля 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2. Программа профилактики направлена на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повышение эффективности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3. Наиболее значимыми рисками в деятельности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trike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>
      <w:pPr>
        <w:pStyle w:val="21"/>
        <w:ind w:firstLine="539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2</w:t>
      </w:r>
      <w:r>
        <w:rPr>
          <w:sz w:val="24"/>
          <w:szCs w:val="24"/>
          <w:lang w:val="zh-CN" w:eastAsia="zh-CN"/>
        </w:rPr>
        <w:t xml:space="preserve">) </w:t>
      </w:r>
      <w:r>
        <w:rPr>
          <w:sz w:val="24"/>
          <w:szCs w:val="24"/>
        </w:rPr>
        <w:t xml:space="preserve">земельные участки, расположенные в границах или примыкающие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к границе береговой полосы водных объектов общего пользования;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4) мелиорируемые и мелиорированные земельные участки;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(с проектной мощностью 40 тыс. птицемест и более);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 более).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4. В целях предотвращени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рисков причинения вреда (ущерба) охраняемым законом ценностям, предупреждени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нарушений обязательных требований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проведены профилактические мероприятия, предусмотренные планом-графиком, установленным программой профилактики на 202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3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год.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Кроме того, н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а официальном сайте администрации городского округа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Лыткарино</w:t>
      </w:r>
      <w:r>
        <w:rPr>
          <w:rFonts w:ascii="Times New Roman" w:hAnsi="Times New Roman" w:eastAsia="Times New Roman"/>
          <w:i/>
          <w:color w:val="0070C0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Московской области в информационно-телекоммуникационной сети «Интернет» (далее –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официальный сайт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http://lytkarino.com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)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zh-CN" w:eastAsia="zh-CN"/>
        </w:rPr>
        <w:t xml:space="preserve">в разделе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>Экономика</w:t>
      </w:r>
      <w:r>
        <w:rPr>
          <w:rFonts w:hint="default"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 xml:space="preserve">/Муниципальный контроль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  <w:t>размещены: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1)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материалы 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сведения, касающиеся осуществляемых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орган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муниципального земельного контроля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мер по профилактике рисков причинения вреда (ущерба) охраняемым законом ценностям (нарушений обязательных требований);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2) перечн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нормативных правовых актов или их отдельных частей (положений),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содержащих обязательные требования, соблюдение которых оценивается при осуществлении муниципального земельного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) обзор правоприменительной практики контрольно-надзорной деятельности органа муниципального земельного контроля;</w:t>
      </w: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проверочные листы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(списки контрольных вопросов)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, применяемые при проведении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;</w:t>
      </w: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5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информация о результатах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, также в един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реестр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соответствии с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ст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49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Федеральн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закон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№ 248-ФЗ в 20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2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3 году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выдано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74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предостережени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я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о недопустимости нарушения обязательных 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ребований в области муниципального земельного контроля.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соответствии с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Постановлением Правительства РФ от 10.03.2022 №336 "Об особенностях организации и осуществления государственного контроля (надзора), муниципального контроля", Постановлением Правительства РФ от 08.09.2021 №1520 "Об особенностях проведения в 2023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 п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лановые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и внеплановые проверки в 2023 году не проводились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20" w:firstLineChars="30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рамках мероприятий по контролю за использованием земель проводится работа по выявлению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нарушений земельного законодательства посредством мобильного приложения «Проверки Подмосковья».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 202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год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с помощью программного обеспечения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осмотрено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95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земельных участков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Контролируемым лицам выдано 74 предостережения о недопустимости нарушений требований законодательства.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Материалы по результатам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выездных обследований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направлены в ИФНС России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№17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 предмет возможного применения повышенной ставки налогообложения в размере 1,5 %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 –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достигнут и составил 100% от запланированного (100%);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достигнут и составил 100% от запланированного 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%).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>Оценка эффективности реализации программы профилактики органа муниципального земельного контроля на 202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составила 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 %.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 В соответствии с данным значением уровень результативности профилактической работы органа муниципального земельного контроля определен как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«Уровень лидерства».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выполнены все мероприятия, предусмотренные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на 20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г., что способствовало повышению информативности контролируемых лиц о действующих обязательных требованиях и снижению рисков причинения вреда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(ущерба)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охраняемым законом ценностям. </w:t>
      </w: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</w:rPr>
      </w:pP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2. Цели и задачи реализации программы профилактики</w:t>
      </w:r>
    </w:p>
    <w:p>
      <w:pPr>
        <w:pStyle w:val="4"/>
        <w:spacing w:before="1" w:line="295" w:lineRule="exact"/>
        <w:ind w:left="0" w:firstLine="567"/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2.1. Целями проведения профилактических мероприятий 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создание условий для доведения обязательных требований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их соблюдения.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2.2.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разъяснение контролируемым лицам обязательных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вреда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(ущерба)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6)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>
        <w:rPr>
          <w:rFonts w:ascii="yandex-sans" w:hAnsi="yandex-sans" w:eastAsia="Times New Roman"/>
          <w:sz w:val="24"/>
          <w:szCs w:val="24"/>
          <w:lang w:eastAsia="ru-RU"/>
        </w:rPr>
        <w:t>контролируемы</w:t>
      </w:r>
      <w:r>
        <w:rPr>
          <w:rFonts w:hint="eastAsia" w:ascii="yandex-sans" w:hAnsi="yandex-sans" w:eastAsia="Times New Roman"/>
          <w:sz w:val="24"/>
          <w:szCs w:val="24"/>
          <w:lang w:eastAsia="ru-RU"/>
        </w:rPr>
        <w:t>х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 лиц, в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том числе с использованием современных информационно-телекоммуникационных технологий;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7)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4"/>
          <w:szCs w:val="24"/>
        </w:rPr>
        <w:t xml:space="preserve">елевые показатели программы профилактики в рамках осуществления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муниципального земельного контроля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год: </w:t>
      </w:r>
    </w:p>
    <w:tbl>
      <w:tblPr>
        <w:tblStyle w:val="18"/>
        <w:tblW w:w="102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6757"/>
        <w:gridCol w:w="1418"/>
        <w:gridCol w:w="15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</w:t>
            </w:r>
            <w:bookmarkStart w:id="5" w:name="_GoBack"/>
            <w:bookmarkEnd w:id="5"/>
            <w:r>
              <w:rPr>
                <w:sz w:val="22"/>
                <w:szCs w:val="22"/>
              </w:rPr>
              <w:t>елей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(202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год), %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год, 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rFonts w:hint="default"/>
                <w:sz w:val="20"/>
                <w:lang w:val="ru-RU"/>
              </w:rPr>
            </w:pPr>
            <w:r>
              <w:rPr>
                <w:rFonts w:hint="default"/>
                <w:sz w:val="20"/>
                <w:lang w:val="ru-RU"/>
              </w:rPr>
              <w:t>25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4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30"/>
                <w:sz w:val="20"/>
                <w:highlight w:val="none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none"/>
              </w:rPr>
              <w:t>5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выданных предписаний при проведении плановых проверок: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28"/>
                <w:sz w:val="20"/>
                <w:highlight w:val="none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текущем году;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ru-RU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yellow"/>
              </w:rPr>
            </w:pPr>
            <w:r>
              <w:rPr>
                <w:color w:val="auto"/>
                <w:sz w:val="20"/>
                <w:highlight w:val="none"/>
              </w:rPr>
              <w:t xml:space="preserve">0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6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24"/>
                <w:sz w:val="20"/>
                <w:highlight w:val="none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highlight w:val="none"/>
              </w:rPr>
              <w:t>N</w:t>
            </w:r>
            <w:r>
              <w:rPr>
                <w:sz w:val="20"/>
                <w:highlight w:val="none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rFonts w:hint="default"/>
                <w:sz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highlight w:val="none"/>
                <w:lang w:val="ru-RU"/>
              </w:rPr>
              <w:t>85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rFonts w:hint="default"/>
                <w:sz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highlight w:val="none"/>
                <w:lang w:val="ru-RU"/>
              </w:rPr>
              <w:t>85</w:t>
            </w:r>
          </w:p>
        </w:tc>
      </w:tr>
    </w:tbl>
    <w:p>
      <w:pPr>
        <w:spacing w:after="0"/>
        <w:ind w:right="-2" w:firstLine="567"/>
        <w:jc w:val="both"/>
        <w:rPr>
          <w:rFonts w:hint="default" w:ascii="Times New Roman" w:hAnsi="Times New Roman" w:eastAsia="Times New Roman"/>
          <w:sz w:val="18"/>
          <w:szCs w:val="18"/>
          <w:lang w:val="ru-RU" w:eastAsia="zh-CN"/>
        </w:rPr>
      </w:pPr>
      <w:r>
        <w:rPr>
          <w:rFonts w:ascii="Times New Roman" w:hAnsi="Times New Roman"/>
          <w:sz w:val="24"/>
          <w:szCs w:val="28"/>
          <w:highlight w:val="none"/>
        </w:rPr>
        <w:t xml:space="preserve">&lt;*&gt; </w:t>
      </w:r>
      <w:r>
        <w:rPr>
          <w:rFonts w:hint="default" w:ascii="Times New Roman" w:hAnsi="Times New Roman"/>
          <w:sz w:val="18"/>
          <w:szCs w:val="18"/>
          <w:highlight w:val="none"/>
          <w:lang w:val="en-US"/>
        </w:rPr>
        <w:t xml:space="preserve"> </w:t>
      </w:r>
      <w:r>
        <w:rPr>
          <w:rFonts w:hint="default" w:ascii="Times New Roman" w:hAnsi="Times New Roman"/>
          <w:sz w:val="18"/>
          <w:szCs w:val="18"/>
          <w:highlight w:val="none"/>
          <w:lang w:val="ru-RU"/>
        </w:rPr>
        <w:t xml:space="preserve"> плановые проверки в 2023 году не проводились в соответствии </w:t>
      </w:r>
      <w:r>
        <w:rPr>
          <w:rFonts w:hint="default" w:ascii="Times New Roman" w:hAnsi="Times New Roman" w:eastAsia="Times New Roman"/>
          <w:sz w:val="18"/>
          <w:szCs w:val="18"/>
          <w:highlight w:val="none"/>
          <w:lang w:val="ru-RU" w:eastAsia="zh-CN"/>
        </w:rPr>
        <w:t>Постановлением Правительства РФ от 08.09.2021 №1520 "Об особенностях проведения в 2022 году плановых контрольных (надзорных) мероприятий, плановых проверок</w:t>
      </w:r>
      <w:r>
        <w:rPr>
          <w:rFonts w:hint="default" w:ascii="Times New Roman" w:hAnsi="Times New Roman" w:eastAsia="Times New Roman"/>
          <w:sz w:val="18"/>
          <w:szCs w:val="18"/>
          <w:lang w:val="ru-RU" w:eastAsia="zh-CN"/>
        </w:rPr>
        <w:t xml:space="preserve"> в отношении субъектов малого предпринимательства и о внесении изменений в некоторые акты Правительства Российской Федерации".</w:t>
      </w:r>
    </w:p>
    <w:p>
      <w:pPr>
        <w:spacing w:after="0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В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 xml:space="preserve">i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Ф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П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*100%</m:t>
        </m:r>
      </m:oMath>
      <w:r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>
      <w:pPr>
        <w:pStyle w:val="4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>
      <w:pPr>
        <w:pStyle w:val="4"/>
        <w:tabs>
          <w:tab w:val="left" w:pos="1276"/>
        </w:tabs>
        <w:spacing w:before="1" w:line="296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23"/>
        <w:autoSpaceDE w:val="0"/>
        <w:autoSpaceDN w:val="0"/>
        <w:adjustRightInd w:val="0"/>
        <w:spacing w:after="0" w:line="240" w:lineRule="auto"/>
        <w:ind w:left="851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3.1. Перечень профилактических мероприятий: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информирование;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 консультирование;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 профилактический визит;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>6) самообследование.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3.2. Информирование.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46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утвержденные проверочные листы в формате, допускающем их использование для самообследования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5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7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программу профилактики рисков причинения вреда (ежегодно до 25 декабря);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8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9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0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сведения о способах получения консультаций по вопросам соблюдения обязательных требований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1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2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3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 о муниципальном земельном контроле (ежеквартально);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4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left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3.3. Обобщение правоприменительной практики.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в соответствии со ст.47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3.4. Объявление предостережения.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3.5. Консультирование.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</w:p>
    <w:p>
      <w:pPr>
        <w:pStyle w:val="36"/>
        <w:spacing w:after="0"/>
        <w:ind w:left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>
      <w:pPr>
        <w:pStyle w:val="3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организация и осуществление муниципального земельного контроля;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осуществления мероприятий муниципального земельного контроля;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обжалования действий (бездействия) должностных лиц органа муниципального земельного контроля;</w:t>
      </w:r>
    </w:p>
    <w:p>
      <w:pPr>
        <w:pStyle w:val="2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23"/>
        <w:numPr>
          <w:ilvl w:val="0"/>
          <w:numId w:val="0"/>
        </w:numPr>
        <w:shd w:val="clear" w:color="auto" w:fill="FFFFFF"/>
        <w:tabs>
          <w:tab w:val="left" w:pos="993"/>
        </w:tabs>
        <w:spacing w:after="0" w:line="240" w:lineRule="auto"/>
        <w:ind w:left="567" w:leftChars="0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3.6. Профилактический визит.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контролируемых лиц, в отношении которых проводятся профилактические визиты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по их заявлению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, определяется приложением №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 размещается на официальном сайте контрольного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органа.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yandex-sans" w:hAnsi="yandex-sans" w:eastAsia="Times New Roman"/>
          <w:sz w:val="24"/>
          <w:szCs w:val="24"/>
          <w:lang w:eastAsia="ru-RU"/>
        </w:rPr>
        <w:t>в течение года по необходимости.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3.7. Самообследование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Самообследование проводится в соответствии со ст. 51 Федерального закона № 248-ФЗ.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осуществляется в автоматизированном режиме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 использованием одного из способов, указанных на официальном сайте, и может касаться как контролируемого лица в целом, так и его обособленных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подразделений, иных объектов.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официальном сайте. </w:t>
      </w:r>
    </w:p>
    <w:p>
      <w:pPr>
        <w:pStyle w:val="23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spacing w:line="295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23"/>
        <w:shd w:val="clear" w:color="auto" w:fill="FFFFFF"/>
        <w:spacing w:after="0" w:line="240" w:lineRule="auto"/>
        <w:ind w:left="1080"/>
        <w:rPr>
          <w:rFonts w:hint="default" w:ascii="yandex-sans" w:hAnsi="yandex-sans" w:eastAsia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4.1.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Эффективность реализации программы профилактики оценивается: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1)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повышением эффективности системы профилактики нарушений обязательных требований;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повышением уровня правовой грамотности контролируемых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лиц в вопросах исполнения обязательных требований, степенью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3)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снижением количества правонарушений при осуществлении контролируемыми лицами своей деятельности;</w:t>
      </w:r>
    </w:p>
    <w:p>
      <w:pPr>
        <w:pStyle w:val="11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понятностью обязательных требований, обеспечивающей их однозначное толкование контролируемых лиц и </w:t>
      </w:r>
      <w:r>
        <w:rPr>
          <w:rFonts w:ascii="yandex-sans" w:hAnsi="yandex-sans"/>
          <w:sz w:val="24"/>
          <w:szCs w:val="24"/>
          <w:lang w:val="ru-RU" w:eastAsia="ru-RU" w:bidi="ar-SA"/>
        </w:rPr>
        <w:t>органа муниципального земельного контроля;</w:t>
      </w:r>
    </w:p>
    <w:p>
      <w:pPr>
        <w:pStyle w:val="11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</w:t>
      </w:r>
      <w:r>
        <w:rPr>
          <w:rFonts w:ascii="yandex-sans" w:hAnsi="yandex-sans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4.2.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4.3.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Ключевыми направлениями социологических исследований являются: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о принятых и готовящихся изменениях в системе обязательных требований,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 порядке проведения контрольных (надзорных) мероприятий, правах контролируемых лиц в ходе проверки;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4.4.Оценка эффективности реализации Программы профилактики рассчитывается ежегодно (по итогам календарного года).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 - номер показателя;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i-го показателя;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Ф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фактическое значение i-го показателя профилактических мероприятий;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плановое значение i-го показателя профилактических мероприятий.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при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, то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Пэф - Итоговая оценка эффективности реализации Программы профилактики;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12"/>
          <w:sz w:val="24"/>
          <w:szCs w:val="24"/>
          <w:lang w:val="ru-RU"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если оценка эффективности реализации Программы профилактики более 100 %, то считать Пэф равным 100 %.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органа муниципального земельного контроля.</w:t>
      </w:r>
    </w:p>
    <w:p>
      <w:pPr>
        <w:pStyle w:val="11"/>
        <w:ind w:left="0" w:firstLine="567"/>
        <w:jc w:val="left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</w:p>
    <w:tbl>
      <w:tblPr>
        <w:tblStyle w:val="18"/>
        <w:tblW w:w="104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4"/>
        <w:gridCol w:w="1868"/>
        <w:gridCol w:w="2209"/>
        <w:gridCol w:w="1800"/>
        <w:gridCol w:w="21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30" w:hRule="atLeast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менее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50%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51%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80%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</w:p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81%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91%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  <w:t>100%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профилактических мероприятий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Недопустимый уровень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Низкий уровень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Плановый уровень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Уровень лидерства</w:t>
            </w:r>
          </w:p>
        </w:tc>
      </w:tr>
    </w:tbl>
    <w:p>
      <w:pPr>
        <w:pStyle w:val="11"/>
        <w:ind w:left="0" w:firstLine="567"/>
        <w:jc w:val="left"/>
        <w:rPr>
          <w:i/>
          <w:sz w:val="24"/>
          <w:szCs w:val="24"/>
        </w:rPr>
      </w:pPr>
    </w:p>
    <w:p>
      <w:pPr>
        <w:pStyle w:val="4"/>
        <w:spacing w:line="296" w:lineRule="exact"/>
        <w:ind w:left="0" w:firstLine="567"/>
        <w:rPr>
          <w:sz w:val="24"/>
          <w:szCs w:val="24"/>
        </w:rPr>
        <w:sectPr>
          <w:headerReference r:id="rId6" w:type="default"/>
          <w:footerReference r:id="rId7" w:type="default"/>
          <w:pgSz w:w="11906" w:h="16838"/>
          <w:pgMar w:top="694" w:right="567" w:bottom="-359" w:left="978" w:header="709" w:footer="709" w:gutter="0"/>
          <w:pgNumType w:start="3"/>
          <w:cols w:space="708" w:num="1"/>
          <w:titlePg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8"/>
        <w:tblW w:w="15997" w:type="dxa"/>
        <w:tblInd w:w="-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706"/>
        <w:gridCol w:w="4536"/>
        <w:gridCol w:w="2551"/>
        <w:gridCol w:w="2410"/>
        <w:gridCol w:w="2410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Мероприятие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Ответственный исполнитель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Актуализация и размещение на официальном сайте 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 контролируемых лиц путем подготовки и размещения на официальном сайте 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4.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5.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FF000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Постоянно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6.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Формирование и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 1 декабря, </w:t>
            </w:r>
            <w:r>
              <w:rPr>
                <w:rFonts w:hint="default" w:ascii="Times New Roman" w:hAnsi="Times New Roman" w:eastAsia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sz w:val="20"/>
              </w:rPr>
              <w:t>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7.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/>
              <w:ind w:left="79" w:right="6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9.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11.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12.</w:t>
            </w:r>
          </w:p>
        </w:tc>
        <w:tc>
          <w:tcPr>
            <w:tcW w:w="17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13.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До 1 декабря Ежегодно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en-US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 xml:space="preserve">14. 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highlight w:val="none"/>
                <w:lang w:val="ru-RU"/>
              </w:rPr>
              <w:t>руководителем</w:t>
            </w:r>
            <w:r>
              <w:rPr>
                <w:rFonts w:ascii="Times New Roman" w:hAnsi="Times New Roman"/>
                <w:sz w:val="20"/>
                <w:highlight w:val="none"/>
              </w:rPr>
              <w:t xml:space="preserve">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15.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Иное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По мере поступления  вопросов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16.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</w:tbl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right"/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Приложение 2 </w:t>
      </w:r>
    </w:p>
    <w:p>
      <w:pPr>
        <w:keepNext w:val="0"/>
        <w:keepLines w:val="0"/>
        <w:widowControl/>
        <w:suppressLineNumbers w:val="0"/>
        <w:jc w:val="right"/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ru-RU" w:eastAsia="zh-CN" w:bidi="ar"/>
        </w:rPr>
        <w:t xml:space="preserve">Перечень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контролируемых лиц, осуществляющих деятельность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ru-RU" w:eastAsia="zh-CN" w:bidi="ar"/>
        </w:rPr>
        <w:t xml:space="preserve"> на территории городского округа Лыткарино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, в отношении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>которых проводится профилактический визит по заявлению указанных лиц,  на 2024 год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7"/>
        <w:gridCol w:w="4101"/>
        <w:gridCol w:w="2464"/>
        <w:gridCol w:w="2464"/>
        <w:gridCol w:w="246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№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п/п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Полное наименование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контролируемого лица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ИНН 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Адрес объекта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контроля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Сроки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проведения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Ответственные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лица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>
      <w:headerReference r:id="rId8" w:type="default"/>
      <w:pgSz w:w="16838" w:h="11906" w:orient="landscape"/>
      <w:pgMar w:top="284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498"/>
        <w:tab w:val="clear" w:pos="9355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1C30"/>
    <w:multiLevelType w:val="multilevel"/>
    <w:tmpl w:val="3C721C3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B4610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25D4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9CC"/>
    <w:rsid w:val="002B5E1E"/>
    <w:rsid w:val="002C12E9"/>
    <w:rsid w:val="002C3AE8"/>
    <w:rsid w:val="002C5426"/>
    <w:rsid w:val="002C7E90"/>
    <w:rsid w:val="002D3428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11931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1A0C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594D"/>
    <w:rsid w:val="0053669C"/>
    <w:rsid w:val="005366BD"/>
    <w:rsid w:val="00543AC6"/>
    <w:rsid w:val="0054421B"/>
    <w:rsid w:val="00547E63"/>
    <w:rsid w:val="00551F95"/>
    <w:rsid w:val="0057074C"/>
    <w:rsid w:val="005718AA"/>
    <w:rsid w:val="005728A5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B4F1B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16145"/>
    <w:rsid w:val="0082037E"/>
    <w:rsid w:val="00821EB1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6CBF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64DB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4459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2F2B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237E4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A7E2C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0772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  <w:rsid w:val="0145717E"/>
    <w:rsid w:val="016B1D09"/>
    <w:rsid w:val="06494206"/>
    <w:rsid w:val="08A9710A"/>
    <w:rsid w:val="0CDB4407"/>
    <w:rsid w:val="0DB94422"/>
    <w:rsid w:val="0DEC6821"/>
    <w:rsid w:val="0F597077"/>
    <w:rsid w:val="189C2E87"/>
    <w:rsid w:val="1D3F1C8E"/>
    <w:rsid w:val="28DD7A6A"/>
    <w:rsid w:val="2C882505"/>
    <w:rsid w:val="2D340992"/>
    <w:rsid w:val="38826232"/>
    <w:rsid w:val="390736FF"/>
    <w:rsid w:val="4475090A"/>
    <w:rsid w:val="508C0A41"/>
    <w:rsid w:val="54D151A3"/>
    <w:rsid w:val="5A5E6BAB"/>
    <w:rsid w:val="5D94469E"/>
    <w:rsid w:val="604A5A25"/>
    <w:rsid w:val="642A14D6"/>
    <w:rsid w:val="67765574"/>
    <w:rsid w:val="715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1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hAnsi="Times New Roman" w:eastAsia="Times New Roman"/>
      <w:sz w:val="36"/>
      <w:szCs w:val="36"/>
      <w:lang w:val="zh-CN" w:eastAsia="zh-CN" w:bidi="ru-RU"/>
    </w:rPr>
  </w:style>
  <w:style w:type="paragraph" w:styleId="3">
    <w:name w:val="heading 2"/>
    <w:basedOn w:val="1"/>
    <w:next w:val="1"/>
    <w:link w:val="31"/>
    <w:qFormat/>
    <w:uiPriority w:val="1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hAnsi="Times New Roman" w:eastAsia="Times New Roman"/>
      <w:b/>
      <w:bCs/>
      <w:sz w:val="28"/>
      <w:szCs w:val="28"/>
      <w:lang w:val="zh-CN" w:eastAsia="zh-CN" w:bidi="ru-RU"/>
    </w:rPr>
  </w:style>
  <w:style w:type="paragraph" w:styleId="4">
    <w:name w:val="heading 3"/>
    <w:basedOn w:val="1"/>
    <w:next w:val="1"/>
    <w:link w:val="27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hAnsi="Times New Roman" w:eastAsia="Times New Roman"/>
      <w:b/>
      <w:bCs/>
      <w:sz w:val="26"/>
      <w:szCs w:val="26"/>
      <w:lang w:val="zh-CN" w:eastAsia="zh-CN" w:bidi="ru-RU"/>
    </w:rPr>
  </w:style>
  <w:style w:type="paragraph" w:styleId="5">
    <w:name w:val="heading 4"/>
    <w:basedOn w:val="1"/>
    <w:next w:val="1"/>
    <w:link w:val="32"/>
    <w:qFormat/>
    <w:uiPriority w:val="1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hAnsi="Times New Roman" w:eastAsia="Times New Roman"/>
      <w:b/>
      <w:bCs/>
      <w:i/>
      <w:sz w:val="26"/>
      <w:szCs w:val="26"/>
      <w:lang w:val="zh-CN" w:eastAsia="zh-CN" w:bidi="ru-RU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annotation text"/>
    <w:basedOn w:val="1"/>
    <w:link w:val="33"/>
    <w:semiHidden/>
    <w:unhideWhenUsed/>
    <w:qFormat/>
    <w:uiPriority w:val="99"/>
    <w:rPr>
      <w:sz w:val="20"/>
      <w:szCs w:val="20"/>
      <w:lang w:val="zh-CN"/>
    </w:rPr>
  </w:style>
  <w:style w:type="paragraph" w:styleId="9">
    <w:name w:val="annotation subject"/>
    <w:basedOn w:val="8"/>
    <w:next w:val="8"/>
    <w:link w:val="34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29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hAnsi="Times New Roman" w:eastAsia="Times New Roman"/>
      <w:sz w:val="26"/>
      <w:szCs w:val="26"/>
      <w:lang w:val="zh-CN" w:eastAsia="zh-CN" w:bidi="ru-RU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character" w:styleId="15">
    <w:name w:val="annotation reference"/>
    <w:semiHidden/>
    <w:unhideWhenUsed/>
    <w:qFormat/>
    <w:uiPriority w:val="99"/>
    <w:rPr>
      <w:sz w:val="16"/>
      <w:szCs w:val="16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Strong"/>
    <w:qFormat/>
    <w:uiPriority w:val="22"/>
    <w:rPr>
      <w:b/>
      <w:bCs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Текст выноски Знак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paragraph" w:customStyle="1" w:styleId="23">
    <w:name w:val="Цветной список - Акцент 11"/>
    <w:basedOn w:val="1"/>
    <w:qFormat/>
    <w:uiPriority w:val="34"/>
    <w:pPr>
      <w:ind w:left="720"/>
      <w:contextualSpacing/>
    </w:pPr>
  </w:style>
  <w:style w:type="character" w:customStyle="1" w:styleId="24">
    <w:name w:val="Верхний колонтитул Знак"/>
    <w:basedOn w:val="14"/>
    <w:link w:val="10"/>
    <w:qFormat/>
    <w:uiPriority w:val="99"/>
  </w:style>
  <w:style w:type="character" w:customStyle="1" w:styleId="25">
    <w:name w:val="Нижний колонтитул Знак"/>
    <w:basedOn w:val="14"/>
    <w:link w:val="12"/>
    <w:qFormat/>
    <w:uiPriority w:val="99"/>
  </w:style>
  <w:style w:type="character" w:customStyle="1" w:styleId="26">
    <w:name w:val="Заголовок 1 Знак"/>
    <w:link w:val="2"/>
    <w:qFormat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customStyle="1" w:styleId="27">
    <w:name w:val="Заголовок 3 Знак"/>
    <w:link w:val="4"/>
    <w:qFormat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customStyle="1" w:styleId="2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Знак"/>
    <w:link w:val="11"/>
    <w:qFormat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ru-RU" w:bidi="ru-RU"/>
    </w:rPr>
  </w:style>
  <w:style w:type="character" w:customStyle="1" w:styleId="31">
    <w:name w:val="Заголовок 2 Знак"/>
    <w:link w:val="3"/>
    <w:qFormat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customStyle="1" w:styleId="32">
    <w:name w:val="Заголовок 4 Знак"/>
    <w:link w:val="5"/>
    <w:qFormat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customStyle="1" w:styleId="33">
    <w:name w:val="Текст примечания Знак"/>
    <w:link w:val="8"/>
    <w:semiHidden/>
    <w:qFormat/>
    <w:uiPriority w:val="99"/>
    <w:rPr>
      <w:lang w:eastAsia="en-US"/>
    </w:rPr>
  </w:style>
  <w:style w:type="character" w:customStyle="1" w:styleId="34">
    <w:name w:val="Тема примечания Знак"/>
    <w:link w:val="9"/>
    <w:semiHidden/>
    <w:qFormat/>
    <w:uiPriority w:val="99"/>
    <w:rPr>
      <w:b/>
      <w:bCs/>
      <w:lang w:eastAsia="en-US"/>
    </w:rPr>
  </w:style>
  <w:style w:type="character" w:customStyle="1" w:styleId="35">
    <w:name w:val="Стандартный HTML Знак"/>
    <w:link w:val="13"/>
    <w:qFormat/>
    <w:uiPriority w:val="99"/>
    <w:rPr>
      <w:rFonts w:ascii="Courier New" w:hAnsi="Courier New" w:eastAsia="Times New Roman" w:cs="Courier New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2.wmf"/><Relationship Id="rId30" Type="http://schemas.openxmlformats.org/officeDocument/2006/relationships/image" Target="media/image21.wmf"/><Relationship Id="rId3" Type="http://schemas.openxmlformats.org/officeDocument/2006/relationships/header" Target="header1.xml"/><Relationship Id="rId29" Type="http://schemas.openxmlformats.org/officeDocument/2006/relationships/image" Target="media/image20.wmf"/><Relationship Id="rId28" Type="http://schemas.openxmlformats.org/officeDocument/2006/relationships/image" Target="media/image19.wmf"/><Relationship Id="rId27" Type="http://schemas.openxmlformats.org/officeDocument/2006/relationships/image" Target="media/image18.wmf"/><Relationship Id="rId26" Type="http://schemas.openxmlformats.org/officeDocument/2006/relationships/image" Target="media/image17.wmf"/><Relationship Id="rId25" Type="http://schemas.openxmlformats.org/officeDocument/2006/relationships/image" Target="media/image16.wmf"/><Relationship Id="rId24" Type="http://schemas.openxmlformats.org/officeDocument/2006/relationships/image" Target="media/image15.wmf"/><Relationship Id="rId23" Type="http://schemas.openxmlformats.org/officeDocument/2006/relationships/image" Target="media/image14.wmf"/><Relationship Id="rId22" Type="http://schemas.openxmlformats.org/officeDocument/2006/relationships/image" Target="media/image13.wmf"/><Relationship Id="rId21" Type="http://schemas.openxmlformats.org/officeDocument/2006/relationships/image" Target="media/image12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image" Target="media/image9.wmf"/><Relationship Id="rId17" Type="http://schemas.openxmlformats.org/officeDocument/2006/relationships/image" Target="media/image8.wmf"/><Relationship Id="rId16" Type="http://schemas.openxmlformats.org/officeDocument/2006/relationships/image" Target="media/image7.wmf"/><Relationship Id="rId15" Type="http://schemas.openxmlformats.org/officeDocument/2006/relationships/image" Target="media/image6.wmf"/><Relationship Id="rId14" Type="http://schemas.openxmlformats.org/officeDocument/2006/relationships/image" Target="media/image5.wmf"/><Relationship Id="rId13" Type="http://schemas.openxmlformats.org/officeDocument/2006/relationships/image" Target="media/image4.wmf"/><Relationship Id="rId12" Type="http://schemas.openxmlformats.org/officeDocument/2006/relationships/image" Target="media/image3.wmf"/><Relationship Id="rId11" Type="http://schemas.openxmlformats.org/officeDocument/2006/relationships/image" Target="media/image2.wmf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0B5EF-4651-4C2A-83A4-35D0DC762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4916</Words>
  <Characters>28025</Characters>
  <Lines>233</Lines>
  <Paragraphs>65</Paragraphs>
  <TotalTime>45</TotalTime>
  <ScaleCrop>false</ScaleCrop>
  <LinksUpToDate>false</LinksUpToDate>
  <CharactersWithSpaces>32876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2022-09-29T12:28:00Z</dcterms:created>
  <dc:creator>Бычко Марина Валерьевна</dc:creator>
  <cp:lastModifiedBy>Alla</cp:lastModifiedBy>
  <cp:lastPrinted>2023-09-08T05:16:00Z</cp:lastPrinted>
  <dcterms:modified xsi:type="dcterms:W3CDTF">2023-09-29T07:58:50Z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