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9E7B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14:paraId="282A6D3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организации и проведения независимой оценки качества оказания услуг муниципальными учреждениями культуры</w:t>
      </w:r>
    </w:p>
    <w:p w14:paraId="7EAD5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городского округа Лыткарино в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14:paraId="5B85546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05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в отношении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культуры оператором ООО «</w:t>
      </w:r>
      <w:r>
        <w:rPr>
          <w:rFonts w:ascii="Times New Roman" w:hAnsi="Times New Roman" w:cs="Times New Roman"/>
          <w:sz w:val="24"/>
          <w:szCs w:val="24"/>
          <w:lang w:val="ru-RU"/>
        </w:rPr>
        <w:t>ВЕКТОР</w:t>
      </w:r>
      <w:r>
        <w:rPr>
          <w:rFonts w:ascii="Times New Roman" w:hAnsi="Times New Roman" w:cs="Times New Roman"/>
          <w:sz w:val="24"/>
          <w:szCs w:val="24"/>
        </w:rPr>
        <w:t xml:space="preserve">»  проводилась независимая оценка качества условий оказания услуг организациями в сфере культуры Московской области (далее – НОК).  </w:t>
      </w:r>
    </w:p>
    <w:p w14:paraId="1B0E3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НОК предусматривает оценку условий оказания услуг по следующим критериям: </w:t>
      </w:r>
    </w:p>
    <w:p w14:paraId="0BFD2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открытость и доступность информации об организации культуры; </w:t>
      </w:r>
    </w:p>
    <w:p w14:paraId="08DC0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комфортность условий, в которых осуществляется деятельность учреждения;  </w:t>
      </w:r>
    </w:p>
    <w:p w14:paraId="7C658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доступность организации культуры для инвалидов;  </w:t>
      </w:r>
    </w:p>
    <w:p w14:paraId="7E50D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доброжелательность, вежливость работников организации;</w:t>
      </w:r>
    </w:p>
    <w:p w14:paraId="01AFA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удовлетворённость условиями осуществления образовательной деятельности.</w:t>
      </w:r>
    </w:p>
    <w:p w14:paraId="16B52AFF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Целью оказания услуг является сбор, изучение, обобщение и анализ информации о качестве условий оказания услуг организациями культуры для последующего проведения независимой оценки качества оказания услуг Общественным советом по проведению независимой оценки качества условий оказания услуг организациями культуры Московской области в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ar-SA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году. </w:t>
      </w:r>
    </w:p>
    <w:p w14:paraId="0EB622A5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Основные задачи:</w:t>
      </w:r>
    </w:p>
    <w:p w14:paraId="3D1B715C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- получение и обобщение информации о качестве условий оказания услуг, размещенной на официальных сайтах организаций культуры в сети «Интернет» (далее – сайты организаций), в отношении организаций культуры согласно перечню. - Собрать и обобщить информацию о качестве условий оказания услуг с изучением мнения получателей услуг организаций культуры (далее – респондентов).</w:t>
      </w:r>
    </w:p>
    <w:p w14:paraId="783B41C6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- осуществление расчетов количественных результатов по общим критериям, показателям, характеризующим общие критерии и параметрам показателей. </w:t>
      </w:r>
    </w:p>
    <w:p w14:paraId="7C7248F1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- оформление и предоставление отчета о выполненных работах.</w:t>
      </w:r>
    </w:p>
    <w:p w14:paraId="7F35C2E4">
      <w:pPr>
        <w:keepNext w:val="0"/>
        <w:keepLines w:val="0"/>
        <w:widowControl/>
        <w:suppressLineNumbers w:val="0"/>
        <w:spacing w:line="240" w:lineRule="auto"/>
        <w:ind w:firstLine="708" w:firstLineChars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 рамках проведения независимой оценки качества условий оказания услуг было </w:t>
      </w:r>
    </w:p>
    <w:p w14:paraId="4AA5D318">
      <w:pPr>
        <w:keepNext w:val="0"/>
        <w:keepLines w:val="0"/>
        <w:widowControl/>
        <w:suppressLineNumbers w:val="0"/>
        <w:spacing w:line="240" w:lineRule="auto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опрошено 85 200 получателей услуг. Количество респондентов составило 40% от </w:t>
      </w:r>
    </w:p>
    <w:p w14:paraId="0D394BC7">
      <w:pPr>
        <w:keepNext w:val="0"/>
        <w:keepLines w:val="0"/>
        <w:widowControl/>
        <w:suppressLineNumbers w:val="0"/>
        <w:spacing w:line="240" w:lineRule="auto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генеральной совокупности или от числа получателей услуг в организации, но не более 600 </w:t>
      </w:r>
    </w:p>
    <w:p w14:paraId="5761CA03">
      <w:pPr>
        <w:keepNext w:val="0"/>
        <w:keepLines w:val="0"/>
        <w:widowControl/>
        <w:suppressLineNumbers w:val="0"/>
        <w:spacing w:line="240" w:lineRule="auto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человек в организации. </w:t>
      </w:r>
    </w:p>
    <w:p w14:paraId="06E395B7">
      <w:pPr>
        <w:keepNext w:val="0"/>
        <w:keepLines w:val="0"/>
        <w:widowControl/>
        <w:suppressLineNumbers w:val="0"/>
        <w:spacing w:line="240" w:lineRule="auto"/>
        <w:ind w:firstLine="708" w:firstLineChars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 рамках НОКУ применялись 2 метода исследования: </w:t>
      </w:r>
    </w:p>
    <w:p w14:paraId="7993C2E9">
      <w:pPr>
        <w:keepNext w:val="0"/>
        <w:keepLines w:val="0"/>
        <w:widowControl/>
        <w:suppressLineNumbers w:val="0"/>
        <w:spacing w:line="240" w:lineRule="auto"/>
        <w:jc w:val="both"/>
        <w:rPr>
          <w:sz w:val="24"/>
          <w:szCs w:val="24"/>
        </w:rPr>
      </w:pPr>
      <w:r>
        <w:rPr>
          <w:rFonts w:ascii="Wingdings" w:hAnsi="Wingdings" w:eastAsia="SimSun" w:cs="Wingdings"/>
          <w:color w:val="000000"/>
          <w:kern w:val="0"/>
          <w:sz w:val="24"/>
          <w:szCs w:val="24"/>
          <w:lang w:val="en-US" w:eastAsia="zh-CN" w:bidi="ar"/>
        </w:rPr>
        <w:t xml:space="preserve">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Очно проводился сбор информации о помещениях организации и прилегающей к ней территории. При обследовании организации заполнялся документ «Чек-лист» и составлялся фотоотчет по каждому оцениваемому параметру. </w:t>
      </w:r>
    </w:p>
    <w:p w14:paraId="304807F6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Wingdings" w:hAnsi="Wingdings" w:eastAsia="SimSun" w:cs="Wingdings"/>
          <w:color w:val="000000"/>
          <w:kern w:val="0"/>
          <w:sz w:val="24"/>
          <w:szCs w:val="24"/>
          <w:lang w:val="en-US" w:eastAsia="zh-CN" w:bidi="ar"/>
        </w:rPr>
        <w:t xml:space="preserve">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Дистанционно исследовалось мнение получателей услуг о работе организации. Для этого проводился онлайн-опрос.  </w:t>
      </w:r>
    </w:p>
    <w:p w14:paraId="3061A486">
      <w:pPr>
        <w:keepNext w:val="0"/>
        <w:keepLines w:val="0"/>
        <w:widowControl/>
        <w:suppressLineNumbers w:val="0"/>
        <w:spacing w:line="240" w:lineRule="auto"/>
        <w:ind w:firstLine="708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Дистанционный метод применялся при обследовании официального сайта организаций культуры. Данные о наличии/отсутствии информации фиксировались в «Чек-листе». </w:t>
      </w:r>
    </w:p>
    <w:p w14:paraId="299D68C3">
      <w:pPr>
        <w:keepNext w:val="0"/>
        <w:keepLines w:val="0"/>
        <w:widowControl/>
        <w:suppressLineNumbers w:val="0"/>
        <w:spacing w:line="240" w:lineRule="auto"/>
        <w:ind w:firstLine="708" w:firstLineChars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 проведении сбора и обобщения информации об организациях культуры учитывался факт отнесения зданий организаций к ОКН1 , а также направленность деятельности организации культуры. К театрально-зрелищным организациям не применялись параметры оценки «Условия комфортности предоставления услуг», «Вежливость и доброжелательность работников организаций» и «Удовлетворенность оказаниями услуг». Вся полученная информация обрабатывалась с применением программ </w:t>
      </w:r>
    </w:p>
    <w:p w14:paraId="7E7D95DA">
      <w:pPr>
        <w:keepNext w:val="0"/>
        <w:keepLines w:val="0"/>
        <w:widowControl/>
        <w:suppressLineNumbers w:val="0"/>
        <w:spacing w:line="240" w:lineRule="auto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Excel и SPSS.</w:t>
      </w:r>
    </w:p>
    <w:p w14:paraId="7D47ED1B">
      <w:pPr>
        <w:keepNext w:val="0"/>
        <w:keepLines w:val="0"/>
        <w:widowControl/>
        <w:suppressLineNumbers w:val="0"/>
        <w:ind w:firstLine="708" w:firstLineChars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Итоговая оценка качества условий оказания услуг организаций формировалась на основании средневзвешенной суммы критериев оценки (критерий S). Среднее значение по</w:t>
      </w:r>
    </w:p>
    <w:p w14:paraId="3F7E140F">
      <w:pPr>
        <w:keepNext w:val="0"/>
        <w:keepLines w:val="0"/>
        <w:widowControl/>
        <w:suppressLineNumbers w:val="0"/>
        <w:jc w:val="both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всей совокупности организаций составило 95,3 баллов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.</w:t>
      </w:r>
    </w:p>
    <w:p w14:paraId="6D021B65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0D46EB0B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3C99B183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В городском округе Лыткарино независимую оценку качества прош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ёл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МУ Д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ворец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к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ультуры «М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ир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»»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ar-SA"/>
        </w:rPr>
        <w:t>.</w:t>
      </w:r>
    </w:p>
    <w:p w14:paraId="7A25006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B7DD37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рейтинг учреждений культуры городского округа Лыткарино, %:</w:t>
      </w:r>
    </w:p>
    <w:p w14:paraId="605A5D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233"/>
        <w:gridCol w:w="938"/>
        <w:gridCol w:w="938"/>
        <w:gridCol w:w="938"/>
        <w:gridCol w:w="938"/>
        <w:gridCol w:w="994"/>
        <w:gridCol w:w="870"/>
        <w:gridCol w:w="885"/>
      </w:tblGrid>
      <w:tr w14:paraId="26C2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shd w:val="clear" w:color="auto" w:fill="FFC000" w:themeFill="accent4"/>
          </w:tcPr>
          <w:p w14:paraId="2E8455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33" w:type="dxa"/>
            <w:shd w:val="clear" w:color="auto" w:fill="FFC000" w:themeFill="accent4"/>
          </w:tcPr>
          <w:p w14:paraId="25BEE4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938" w:type="dxa"/>
            <w:shd w:val="clear" w:color="auto" w:fill="FFC000" w:themeFill="accent4"/>
          </w:tcPr>
          <w:p w14:paraId="274C3A3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Крит. 1</w:t>
            </w:r>
          </w:p>
        </w:tc>
        <w:tc>
          <w:tcPr>
            <w:tcW w:w="938" w:type="dxa"/>
            <w:shd w:val="clear" w:color="auto" w:fill="FFC000" w:themeFill="accent4"/>
          </w:tcPr>
          <w:p w14:paraId="3262868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Крит. 2</w:t>
            </w:r>
          </w:p>
        </w:tc>
        <w:tc>
          <w:tcPr>
            <w:tcW w:w="938" w:type="dxa"/>
            <w:shd w:val="clear" w:color="auto" w:fill="FFC000" w:themeFill="accent4"/>
          </w:tcPr>
          <w:p w14:paraId="08CEEEF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Крит. 3</w:t>
            </w:r>
          </w:p>
        </w:tc>
        <w:tc>
          <w:tcPr>
            <w:tcW w:w="938" w:type="dxa"/>
            <w:shd w:val="clear" w:color="auto" w:fill="FFC000" w:themeFill="accent4"/>
          </w:tcPr>
          <w:p w14:paraId="05B3178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Крит. 4</w:t>
            </w:r>
          </w:p>
        </w:tc>
        <w:tc>
          <w:tcPr>
            <w:tcW w:w="994" w:type="dxa"/>
            <w:shd w:val="clear" w:color="auto" w:fill="FFC000" w:themeFill="accent4"/>
          </w:tcPr>
          <w:p w14:paraId="4299A78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Крит. 5</w:t>
            </w:r>
          </w:p>
        </w:tc>
        <w:tc>
          <w:tcPr>
            <w:tcW w:w="870" w:type="dxa"/>
            <w:shd w:val="clear" w:color="auto" w:fill="FFC000" w:themeFill="accent4"/>
          </w:tcPr>
          <w:p w14:paraId="1BBC9C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885" w:type="dxa"/>
            <w:shd w:val="clear" w:color="auto" w:fill="FFC000" w:themeFill="accent4"/>
          </w:tcPr>
          <w:p w14:paraId="2DD02FB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14:paraId="6AA49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04A3FB8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3" w:type="dxa"/>
          </w:tcPr>
          <w:p w14:paraId="21F4A569">
            <w:pPr>
              <w:keepNext w:val="0"/>
              <w:keepLines w:val="0"/>
              <w:widowControl/>
              <w:suppressLineNumbers w:val="0"/>
              <w:spacing w:after="0" w:line="276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Дворец культуры «Мир»</w:t>
            </w:r>
          </w:p>
        </w:tc>
        <w:tc>
          <w:tcPr>
            <w:tcW w:w="938" w:type="dxa"/>
            <w:vAlign w:val="top"/>
          </w:tcPr>
          <w:p w14:paraId="417A784C">
            <w:pPr>
              <w:keepNext w:val="0"/>
              <w:keepLines w:val="0"/>
              <w:widowControl/>
              <w:suppressLineNumbers w:val="0"/>
              <w:spacing w:after="0" w:line="276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99,9</w:t>
            </w:r>
          </w:p>
        </w:tc>
        <w:tc>
          <w:tcPr>
            <w:tcW w:w="938" w:type="dxa"/>
            <w:vAlign w:val="top"/>
          </w:tcPr>
          <w:p w14:paraId="1265DC92">
            <w:pPr>
              <w:keepNext w:val="0"/>
              <w:keepLines w:val="0"/>
              <w:widowControl/>
              <w:suppressLineNumbers w:val="0"/>
              <w:spacing w:after="0" w:line="276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99,5</w:t>
            </w:r>
          </w:p>
        </w:tc>
        <w:tc>
          <w:tcPr>
            <w:tcW w:w="938" w:type="dxa"/>
            <w:vAlign w:val="top"/>
          </w:tcPr>
          <w:p w14:paraId="68CB8229">
            <w:pPr>
              <w:keepNext w:val="0"/>
              <w:keepLines w:val="0"/>
              <w:widowControl/>
              <w:suppressLineNumbers w:val="0"/>
              <w:spacing w:after="0" w:line="276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938" w:type="dxa"/>
            <w:vAlign w:val="top"/>
          </w:tcPr>
          <w:p w14:paraId="624D56C7">
            <w:pPr>
              <w:keepNext w:val="0"/>
              <w:keepLines w:val="0"/>
              <w:widowControl/>
              <w:suppressLineNumbers w:val="0"/>
              <w:spacing w:after="0" w:line="276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98,7</w:t>
            </w:r>
          </w:p>
        </w:tc>
        <w:tc>
          <w:tcPr>
            <w:tcW w:w="994" w:type="dxa"/>
            <w:vAlign w:val="top"/>
          </w:tcPr>
          <w:p w14:paraId="4C07021C">
            <w:pPr>
              <w:keepNext w:val="0"/>
              <w:keepLines w:val="0"/>
              <w:widowControl/>
              <w:suppressLineNumbers w:val="0"/>
              <w:spacing w:after="0" w:line="276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98,6</w:t>
            </w:r>
          </w:p>
        </w:tc>
        <w:tc>
          <w:tcPr>
            <w:tcW w:w="870" w:type="dxa"/>
            <w:vAlign w:val="top"/>
          </w:tcPr>
          <w:p w14:paraId="43E8C2A4">
            <w:pPr>
              <w:keepNext w:val="0"/>
              <w:keepLines w:val="0"/>
              <w:widowControl/>
              <w:suppressLineNumbers w:val="0"/>
              <w:spacing w:after="0" w:line="276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99,3</w:t>
            </w:r>
          </w:p>
        </w:tc>
        <w:tc>
          <w:tcPr>
            <w:tcW w:w="885" w:type="dxa"/>
            <w:shd w:val="clear" w:color="auto" w:fill="FFC000" w:themeFill="accent4"/>
          </w:tcPr>
          <w:p w14:paraId="537FD895">
            <w:pPr>
              <w:keepNext w:val="0"/>
              <w:keepLines w:val="0"/>
              <w:widowControl/>
              <w:suppressLineNumbers w:val="0"/>
              <w:spacing w:after="0" w:line="276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</w:tr>
    </w:tbl>
    <w:p w14:paraId="48399F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930D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6438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26B74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950FA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A5E7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A350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64F6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963D5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FB98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D1719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478BF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D0B5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C93F5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537ED4"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09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99"/>
    <w:rsid w:val="00105930"/>
    <w:rsid w:val="00293A99"/>
    <w:rsid w:val="003E0386"/>
    <w:rsid w:val="004F1C20"/>
    <w:rsid w:val="0063276A"/>
    <w:rsid w:val="007F047E"/>
    <w:rsid w:val="00B621C7"/>
    <w:rsid w:val="00CA6517"/>
    <w:rsid w:val="00CC5102"/>
    <w:rsid w:val="00D954AA"/>
    <w:rsid w:val="00E153DA"/>
    <w:rsid w:val="00E77155"/>
    <w:rsid w:val="00F608C1"/>
    <w:rsid w:val="00FD39C9"/>
    <w:rsid w:val="7390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qFormat/>
    <w:uiPriority w:val="99"/>
    <w:rPr>
      <w:rFonts w:cs="Times New Roman"/>
      <w:vertAlign w:val="superscript"/>
    </w:rPr>
  </w:style>
  <w:style w:type="paragraph" w:styleId="5">
    <w:name w:val="footnote text"/>
    <w:basedOn w:val="1"/>
    <w:link w:val="7"/>
    <w:qFormat/>
    <w:uiPriority w:val="99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сноски Знак"/>
    <w:basedOn w:val="2"/>
    <w:link w:val="5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459</Words>
  <Characters>2617</Characters>
  <Lines>21</Lines>
  <Paragraphs>6</Paragraphs>
  <TotalTime>21</TotalTime>
  <ScaleCrop>false</ScaleCrop>
  <LinksUpToDate>false</LinksUpToDate>
  <CharactersWithSpaces>3070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2024-12-11T09:22:00Z</dcterms:created>
  <dc:creator>Елена</dc:creator>
  <cp:lastModifiedBy>Поьзователь</cp:lastModifiedBy>
  <dcterms:modified xsi:type="dcterms:W3CDTF">2025-12-25T09:52:18Z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9D873C82E0224B7AA3FDEB15E86FCD67_12</vt:lpwstr>
  </property>
</Properties>
</file>