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2DC" w:rsidRDefault="00A8153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Приказом Комитета</w:t>
      </w:r>
    </w:p>
    <w:p w:rsidR="00BE72DC" w:rsidRDefault="00A8153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имуществом г.Лыткарино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2DC" w:rsidRDefault="00A8153C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>.06.2022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73 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E72DC" w:rsidRDefault="00BE72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72DC" w:rsidRDefault="00BE72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72DC" w:rsidRDefault="00A815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Доклад о прав</w:t>
      </w:r>
      <w:r>
        <w:rPr>
          <w:rFonts w:ascii="Times New Roman" w:hAnsi="Times New Roman" w:cs="Times New Roman"/>
          <w:bCs/>
          <w:sz w:val="24"/>
          <w:szCs w:val="24"/>
        </w:rPr>
        <w:t>оприменительной практике</w:t>
      </w:r>
    </w:p>
    <w:p w:rsidR="00BE72DC" w:rsidRDefault="00A815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проведения муниципального земельного контроля на территории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Лыткарино Московской области</w:t>
      </w:r>
    </w:p>
    <w:p w:rsidR="00BE72DC" w:rsidRDefault="00BE72DC">
      <w:pPr>
        <w:jc w:val="center"/>
        <w:rPr>
          <w:sz w:val="24"/>
          <w:szCs w:val="24"/>
        </w:rPr>
      </w:pPr>
    </w:p>
    <w:p w:rsidR="00BE72DC" w:rsidRDefault="00A8153C">
      <w:pPr>
        <w:pStyle w:val="ConsPlusNormal"/>
        <w:widowControl/>
        <w:ind w:firstLine="709"/>
        <w:jc w:val="both"/>
        <w:rPr>
          <w:rFonts w:eastAsiaTheme="minorHAnsi"/>
          <w:lang w:val="en-US"/>
        </w:rPr>
      </w:pPr>
      <w:r>
        <w:rPr>
          <w:rFonts w:eastAsiaTheme="minorHAnsi"/>
          <w:lang w:eastAsia="en-US"/>
        </w:rPr>
        <w:t>Полномочиями по осуществлению муниципального земельного контроля в городском</w:t>
      </w:r>
      <w:r>
        <w:rPr>
          <w:rFonts w:eastAsiaTheme="minorHAnsi"/>
          <w:lang w:eastAsia="en-US"/>
        </w:rPr>
        <w:t xml:space="preserve"> округе Лыткарино</w:t>
      </w:r>
      <w:r>
        <w:rPr>
          <w:rFonts w:eastAsiaTheme="minorHAnsi"/>
          <w:lang w:eastAsia="en-US"/>
        </w:rPr>
        <w:t xml:space="preserve"> наделен Комитет по управлению имуществом г.Лыткарино</w:t>
      </w:r>
      <w:r>
        <w:rPr>
          <w:rFonts w:eastAsiaTheme="minorHAnsi"/>
          <w:lang w:eastAsia="en-US"/>
        </w:rPr>
        <w:t xml:space="preserve">. </w:t>
      </w:r>
      <w:r>
        <w:rPr>
          <w:rFonts w:eastAsiaTheme="minorHAnsi"/>
        </w:rPr>
        <w:t>В своей деятельности Комитет по управлению имуществом г.Лыткарино руководствуе</w:t>
      </w:r>
      <w:r>
        <w:rPr>
          <w:rFonts w:eastAsiaTheme="minorHAnsi"/>
        </w:rPr>
        <w:t xml:space="preserve">тся </w:t>
      </w:r>
      <w:r>
        <w:rPr>
          <w:rFonts w:eastAsiaTheme="minorHAnsi"/>
        </w:rPr>
        <w:t>следующими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нормативно-правовыми актами, устанавливающими обязательные требования к осуществлению деятельности юридических лиц</w:t>
      </w:r>
      <w:r>
        <w:rPr>
          <w:rFonts w:eastAsiaTheme="minorHAnsi"/>
          <w:lang w:val="en-US"/>
        </w:rPr>
        <w:t xml:space="preserve">, </w:t>
      </w:r>
      <w:r>
        <w:rPr>
          <w:rFonts w:eastAsiaTheme="minorHAnsi"/>
        </w:rPr>
        <w:t xml:space="preserve"> индивидуальных предпринимателей,</w:t>
      </w:r>
      <w:r>
        <w:rPr>
          <w:rFonts w:eastAsiaTheme="minorHAnsi"/>
          <w:lang w:val="en-US"/>
        </w:rPr>
        <w:t xml:space="preserve"> физических лиц, </w:t>
      </w:r>
      <w:r>
        <w:rPr>
          <w:rFonts w:eastAsiaTheme="minorHAnsi"/>
        </w:rPr>
        <w:t xml:space="preserve"> соблюдение которых подлежит проверке в процессе осуществления муниципально</w:t>
      </w:r>
      <w:r>
        <w:rPr>
          <w:rFonts w:eastAsiaTheme="minorHAnsi"/>
        </w:rPr>
        <w:t>го земельного контроля</w:t>
      </w:r>
      <w:r>
        <w:rPr>
          <w:rFonts w:eastAsiaTheme="minorHAnsi"/>
          <w:lang w:val="en-US"/>
        </w:rPr>
        <w:t>: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-Земельный кодекс Российской Федерации, Кодекс Российской Федерации об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правонарушениях,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"http://docs.cntd.ru/document/902166573"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«Об общих принципах </w:t>
      </w:r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Правительс</w:t>
      </w:r>
      <w:r>
        <w:rPr>
          <w:rFonts w:ascii="Times New Roman" w:hAnsi="Times New Roman" w:cs="Times New Roman"/>
          <w:sz w:val="24"/>
          <w:szCs w:val="24"/>
        </w:rPr>
        <w:t>тва РФ от 10.03.2022 № 336 «Об особенностях организации и осуществления государственного контроля (надзора), муниципального контроля»,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-Положение о муниципальном земельном контроле на территории городского округа Лыткарино Московской области, утвержденное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Лыткарино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23.09.</w:t>
      </w:r>
      <w:r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137/18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индикаторов риска нарушения обязательных требований, используемы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необходимости проведения внеплановых проверок при осуществлении муниципального земельно</w:t>
      </w:r>
      <w:r>
        <w:rPr>
          <w:rFonts w:ascii="Times New Roman" w:hAnsi="Times New Roman" w:cs="Times New Roman"/>
          <w:sz w:val="24"/>
          <w:szCs w:val="24"/>
        </w:rPr>
        <w:t>го контроля, утвержденный Решением Совета депутатов городского округа Лыткарино от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162/21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Росреестра от 10.11.2020 № П/0412 «Об утверждении классификатора видов разрешенного использования земельных участков»,</w:t>
      </w:r>
    </w:p>
    <w:p w:rsidR="00BE72DC" w:rsidRDefault="00A8153C">
      <w:pPr>
        <w:spacing w:after="0" w:line="240" w:lineRule="auto"/>
        <w:ind w:firstLineChars="157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</w:t>
      </w:r>
      <w:r>
        <w:rPr>
          <w:rFonts w:ascii="Times New Roman" w:hAnsi="Times New Roman" w:cs="Times New Roman"/>
          <w:sz w:val="24"/>
          <w:szCs w:val="24"/>
        </w:rPr>
        <w:t xml:space="preserve">лению имуществом г.Лыткарино от 30.09.2021   №104 об отнесении земельных участков, расположенных в городском округе Лыткарино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категории рисков,</w:t>
      </w:r>
    </w:p>
    <w:p w:rsidR="00BE72DC" w:rsidRDefault="00A815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-Программа профилактики рисков причинения вреда (ущерба) охраняемым законом </w:t>
      </w:r>
      <w:r>
        <w:rPr>
          <w:rFonts w:ascii="Times New Roman" w:hAnsi="Times New Roman" w:cs="Times New Roman"/>
          <w:sz w:val="24"/>
          <w:szCs w:val="24"/>
        </w:rPr>
        <w:t xml:space="preserve">ценностям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на территории городского округа Лыткарино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Лыткарино от </w:t>
      </w:r>
      <w:r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.2021 №</w:t>
      </w: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2DC" w:rsidRDefault="00BE72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72DC" w:rsidRDefault="00A8153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обобщения и анализа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обеспечение единообразных подходов к применению контрольным (надзорным) органом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о муниципальном </w:t>
      </w:r>
      <w:r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типичных нарушений обязательн</w:t>
      </w:r>
      <w:r>
        <w:rPr>
          <w:rFonts w:ascii="Times New Roman" w:hAnsi="Times New Roman" w:cs="Times New Roman"/>
          <w:sz w:val="24"/>
          <w:szCs w:val="24"/>
        </w:rPr>
        <w:t>ых требований, причин,  способствующих их возникновению;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по реализации профилактических мероприятий для 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нарушений;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предложений об актуализации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2DC" w:rsidRDefault="00A8153C">
      <w:pPr>
        <w:pStyle w:val="ConsPlusNormal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Плановые контрольные (надзорные)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5" w:history="1">
        <w:r>
          <w:rPr>
            <w:rFonts w:eastAsiaTheme="minorHAnsi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формирования плана проведения плановых контрольных (надзорных) мероприятий на очередной календарный год, его со</w:t>
      </w:r>
      <w:r>
        <w:rPr>
          <w:rFonts w:eastAsiaTheme="minorHAnsi"/>
          <w:lang w:eastAsia="en-US"/>
        </w:rPr>
        <w:t>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</w:t>
      </w:r>
      <w:r>
        <w:rPr>
          <w:rFonts w:eastAsiaTheme="minorHAnsi"/>
          <w:lang w:eastAsia="en-US"/>
        </w:rPr>
        <w:t>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органом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земельных участков, отнесенных к категории среднего риска,  не чаще чем один раз в 3 года и не реж</w:t>
      </w:r>
      <w:r>
        <w:rPr>
          <w:rFonts w:ascii="Times New Roman" w:hAnsi="Times New Roman" w:cs="Times New Roman"/>
          <w:sz w:val="24"/>
          <w:szCs w:val="24"/>
        </w:rPr>
        <w:t>е чем один раз в 6 лет;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земельных участков, отнесенных к категории умеренного риска,  не чаще чем один раз в 5 лет и не реже чем один раз в 6 лет.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</w:t>
      </w:r>
      <w:r>
        <w:rPr>
          <w:rFonts w:ascii="Times New Roman" w:hAnsi="Times New Roman" w:cs="Times New Roman"/>
          <w:sz w:val="24"/>
          <w:szCs w:val="24"/>
        </w:rPr>
        <w:t xml:space="preserve"> проводятся.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по муниципальному земельному контролю  не проводятся.</w:t>
      </w:r>
    </w:p>
    <w:p w:rsidR="00BE72DC" w:rsidRDefault="00BE7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внеплановых контрольных мероприятий является:</w:t>
      </w:r>
    </w:p>
    <w:p w:rsidR="00BE72DC" w:rsidRDefault="00A8153C">
      <w:pPr>
        <w:pStyle w:val="a3"/>
        <w:spacing w:after="0" w:line="240" w:lineRule="auto"/>
        <w:ind w:firstLineChars="183" w:firstLine="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у контрольного (надзорного) органа сведений о </w:t>
      </w:r>
      <w:r>
        <w:rPr>
          <w:rFonts w:ascii="Times New Roman" w:hAnsi="Times New Roman" w:cs="Times New Roman"/>
        </w:rPr>
        <w:t>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</w:t>
      </w:r>
      <w:r>
        <w:rPr>
          <w:rFonts w:ascii="Times New Roman" w:hAnsi="Times New Roman" w:cs="Times New Roman"/>
        </w:rPr>
        <w:t>ких параметров;</w:t>
      </w:r>
    </w:p>
    <w:p w:rsidR="00BE72DC" w:rsidRDefault="00A8153C">
      <w:pPr>
        <w:pStyle w:val="a3"/>
        <w:spacing w:after="0" w:line="240" w:lineRule="auto"/>
        <w:ind w:firstLineChars="183" w:firstLine="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BE72DC" w:rsidRDefault="00A8153C">
      <w:pPr>
        <w:pStyle w:val="a3"/>
        <w:spacing w:after="0" w:line="240" w:lineRule="auto"/>
        <w:ind w:firstLineChars="183" w:firstLine="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поручение Президента Российской Федерации, поручение Правительства Российской Федерации о проведении контро</w:t>
      </w:r>
      <w:r>
        <w:rPr>
          <w:rFonts w:ascii="Times New Roman" w:hAnsi="Times New Roman" w:cs="Times New Roman"/>
        </w:rPr>
        <w:t>льных (надзорных) мероприятий в отношении конкретных контролируемых лиц;</w:t>
      </w:r>
    </w:p>
    <w:p w:rsidR="00BE72DC" w:rsidRDefault="00A8153C">
      <w:pPr>
        <w:pStyle w:val="a3"/>
        <w:spacing w:after="0" w:line="240" w:lineRule="auto"/>
        <w:ind w:firstLineChars="183" w:firstLine="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</w:t>
      </w:r>
      <w:r>
        <w:rPr>
          <w:rFonts w:ascii="Times New Roman" w:hAnsi="Times New Roman" w:cs="Times New Roman"/>
        </w:rPr>
        <w:t>ы прокуратуры материалам и обращениям;</w:t>
      </w:r>
    </w:p>
    <w:p w:rsidR="00BE72DC" w:rsidRDefault="00A8153C">
      <w:pPr>
        <w:pStyle w:val="a3"/>
        <w:spacing w:after="0" w:line="240" w:lineRule="auto"/>
        <w:ind w:firstLineChars="183" w:firstLine="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истечение срока исполнения решения контрольного (надзорного) органа об устранении выявленного нарушения обязательных требований ;</w:t>
      </w:r>
    </w:p>
    <w:p w:rsidR="00BE72DC" w:rsidRDefault="00A8153C">
      <w:pPr>
        <w:pStyle w:val="a3"/>
        <w:spacing w:after="0" w:line="240" w:lineRule="auto"/>
        <w:ind w:firstLineChars="183" w:firstLine="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наступление события, указанного в программе проверок, если федеральным законом о виде к</w:t>
      </w:r>
      <w:r>
        <w:rPr>
          <w:rFonts w:ascii="Times New Roman" w:hAnsi="Times New Roman" w:cs="Times New Roman"/>
        </w:rPr>
        <w:t>онтроля установлено, что контрольные (надзорные) мероприятия проводятся на основании программы проверок.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</w:t>
      </w:r>
      <w:r>
        <w:rPr>
          <w:rFonts w:ascii="Times New Roman" w:hAnsi="Times New Roman" w:cs="Times New Roman"/>
          <w:sz w:val="24"/>
          <w:szCs w:val="24"/>
        </w:rPr>
        <w:t>нкретных контролируемых лиц;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</w:t>
      </w:r>
      <w:r>
        <w:rPr>
          <w:rFonts w:ascii="Times New Roman" w:hAnsi="Times New Roman" w:cs="Times New Roman"/>
          <w:sz w:val="24"/>
          <w:szCs w:val="24"/>
        </w:rPr>
        <w:t>ение срока исполнения решения контрольного (надзорного) органа об устранении выявленного нарушения обязательных требований.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10.03.2022 № 336 «Об особенностях организации и осуществления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(надзора), муниципального контроля» внеплановые контрольные (надзорные) мероприятия проводятся исключительно по основаниям, указанным в данном Постановлении.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истекший период (до 01.06.2022) плановые и внеплановые проверки не проводились.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</w:t>
      </w:r>
      <w:r>
        <w:rPr>
          <w:rFonts w:ascii="Times New Roman" w:hAnsi="Times New Roman" w:cs="Times New Roman"/>
          <w:sz w:val="24"/>
          <w:szCs w:val="24"/>
        </w:rPr>
        <w:t>вание контрольных (надзорных) мероприятий без взаимодействия с контролируемыми лицами осуществляется с использованием критериев приоритизации, основанных на рейтинговании 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приоритизации служат для анализа параметров каждого земе</w:t>
      </w:r>
      <w:r>
        <w:rPr>
          <w:rFonts w:ascii="Times New Roman" w:hAnsi="Times New Roman" w:cs="Times New Roman"/>
          <w:sz w:val="24"/>
          <w:szCs w:val="24"/>
        </w:rPr>
        <w:t>льного участка из земельного фонда Московской области. По результатам расчета общего веса каждого земельного участка составляется рейтинг земельных участков от большего веса к меньшему.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выборки формируется перечень земельных участков, подлежащ</w:t>
      </w:r>
      <w:r>
        <w:rPr>
          <w:rFonts w:ascii="Times New Roman" w:hAnsi="Times New Roman" w:cs="Times New Roman"/>
          <w:sz w:val="24"/>
          <w:szCs w:val="24"/>
        </w:rPr>
        <w:t>их первоочередным контрольным мероприятиям без взаимодействия с контролируемыми лицами,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</w:t>
      </w:r>
      <w:r>
        <w:rPr>
          <w:rFonts w:ascii="Times New Roman" w:hAnsi="Times New Roman" w:cs="Times New Roman"/>
          <w:sz w:val="24"/>
          <w:szCs w:val="24"/>
        </w:rPr>
        <w:t>сковской области, государственных органов Московской области, органов местного самоуправления муниципальных образований Московской области и поступают в качестве задания для исполнения в орган муниципального земельного контроля посредством  ЕГИС ОКНД.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ответствии с пунктом 10 Постановления Правительства РФ от 10.03.2022 №336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 проведение профилактических мероприятий, мероприятий по профила</w:t>
      </w:r>
      <w:r>
        <w:rPr>
          <w:rFonts w:ascii="Times New Roman" w:hAnsi="Times New Roman" w:cs="Times New Roman"/>
          <w:sz w:val="24"/>
          <w:szCs w:val="24"/>
        </w:rPr>
        <w:t xml:space="preserve">ктике нарушения обязательных требований, мероприятий по контролю без взаимодействия в отношении контролируемых лиц.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состоянию на 31.05.2022  проведены 73 выездных обследований, по результатам которых выданы 10 предостережений о недопустимости нарушения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BE72DC" w:rsidRDefault="00A8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их анализа мероприятий, проведенных без взаимодействия с контролируемыми лицами, </w:t>
      </w:r>
      <w:r>
        <w:rPr>
          <w:rFonts w:ascii="Times New Roman" w:hAnsi="Times New Roman" w:cs="Times New Roman"/>
          <w:sz w:val="24"/>
          <w:szCs w:val="24"/>
        </w:rPr>
        <w:t xml:space="preserve">80%  </w:t>
      </w:r>
      <w:r>
        <w:rPr>
          <w:rFonts w:ascii="Times New Roman" w:hAnsi="Times New Roman" w:cs="Times New Roman"/>
          <w:sz w:val="24"/>
          <w:szCs w:val="24"/>
        </w:rPr>
        <w:t xml:space="preserve">от выявленных нарушений составляет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земель не по целевому назначению,  20%  </w:t>
      </w:r>
      <w:r>
        <w:rPr>
          <w:rFonts w:ascii="Times New Roman" w:hAnsi="Times New Roman" w:cs="Times New Roman"/>
          <w:sz w:val="24"/>
          <w:szCs w:val="24"/>
        </w:rPr>
        <w:t>самовольное занятие земель 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DC" w:rsidRDefault="00A815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>, что б</w:t>
      </w:r>
      <w:r>
        <w:rPr>
          <w:rFonts w:ascii="Times New Roman" w:hAnsi="Times New Roman" w:cs="Times New Roman"/>
          <w:sz w:val="24"/>
          <w:szCs w:val="24"/>
        </w:rPr>
        <w:t>ольш</w:t>
      </w:r>
      <w:r>
        <w:rPr>
          <w:rFonts w:ascii="Times New Roman" w:hAnsi="Times New Roman" w:cs="Times New Roman"/>
          <w:sz w:val="24"/>
          <w:szCs w:val="24"/>
        </w:rPr>
        <w:t>инство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 земельного законодательства допу</w:t>
      </w:r>
      <w:r>
        <w:rPr>
          <w:rFonts w:ascii="Times New Roman" w:hAnsi="Times New Roman" w:cs="Times New Roman"/>
          <w:sz w:val="24"/>
          <w:szCs w:val="24"/>
        </w:rPr>
        <w:t>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одних и тех же объектах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земельного законодательства почтовыми отправлениями адресаты не получают</w:t>
      </w:r>
      <w:r>
        <w:rPr>
          <w:rFonts w:ascii="Times New Roman" w:hAnsi="Times New Roman" w:cs="Times New Roman"/>
          <w:sz w:val="24"/>
          <w:szCs w:val="24"/>
        </w:rPr>
        <w:t xml:space="preserve">, предлагаем  обеспечить </w:t>
      </w:r>
      <w:r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контролируемыми лицами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контролируемым лицам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предостережений, предписаний, </w:t>
      </w:r>
      <w:r>
        <w:rPr>
          <w:rFonts w:ascii="Times New Roman" w:hAnsi="Times New Roman" w:cs="Times New Roman"/>
          <w:sz w:val="24"/>
          <w:szCs w:val="24"/>
        </w:rPr>
        <w:t>материалов проверок через Единый портал государственных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обязательность</w:t>
      </w:r>
      <w:r>
        <w:rPr>
          <w:rFonts w:ascii="Times New Roman" w:hAnsi="Times New Roman" w:cs="Times New Roman"/>
          <w:sz w:val="24"/>
          <w:szCs w:val="24"/>
        </w:rPr>
        <w:t xml:space="preserve"> внесения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2DC" w:rsidRDefault="00BE72D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E72DC">
      <w:pgSz w:w="11906" w:h="16838"/>
      <w:pgMar w:top="426" w:right="566" w:bottom="851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default"/>
    <w:sig w:usb0="00000000" w:usb1="C000785B" w:usb2="00000009" w:usb3="00000000" w:csb0="400001FF" w:csb1="FFFF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00"/>
    <w:rsid w:val="000A582E"/>
    <w:rsid w:val="000C62E3"/>
    <w:rsid w:val="000D4489"/>
    <w:rsid w:val="001C55AA"/>
    <w:rsid w:val="00211AB2"/>
    <w:rsid w:val="00221436"/>
    <w:rsid w:val="00263A51"/>
    <w:rsid w:val="00292897"/>
    <w:rsid w:val="00314A34"/>
    <w:rsid w:val="00362230"/>
    <w:rsid w:val="0037294C"/>
    <w:rsid w:val="003A07EE"/>
    <w:rsid w:val="0041317B"/>
    <w:rsid w:val="00431900"/>
    <w:rsid w:val="004D3B38"/>
    <w:rsid w:val="00672F91"/>
    <w:rsid w:val="0069638D"/>
    <w:rsid w:val="006E0767"/>
    <w:rsid w:val="007A5C6C"/>
    <w:rsid w:val="007A6721"/>
    <w:rsid w:val="007F0516"/>
    <w:rsid w:val="00803880"/>
    <w:rsid w:val="00857496"/>
    <w:rsid w:val="009E50C3"/>
    <w:rsid w:val="009E5F0C"/>
    <w:rsid w:val="00A16E52"/>
    <w:rsid w:val="00A20A57"/>
    <w:rsid w:val="00A30220"/>
    <w:rsid w:val="00A8153C"/>
    <w:rsid w:val="00A83134"/>
    <w:rsid w:val="00AA4FDF"/>
    <w:rsid w:val="00BE37C6"/>
    <w:rsid w:val="00BE72DC"/>
    <w:rsid w:val="00C65D45"/>
    <w:rsid w:val="00C75D18"/>
    <w:rsid w:val="00CB25CC"/>
    <w:rsid w:val="00DD639D"/>
    <w:rsid w:val="00DE7A5B"/>
    <w:rsid w:val="00DF04C7"/>
    <w:rsid w:val="00E50BEF"/>
    <w:rsid w:val="00E7235B"/>
    <w:rsid w:val="00E75342"/>
    <w:rsid w:val="00E94A63"/>
    <w:rsid w:val="00F05D64"/>
    <w:rsid w:val="00F150C8"/>
    <w:rsid w:val="00F96908"/>
    <w:rsid w:val="00FA3B6C"/>
    <w:rsid w:val="01C664B4"/>
    <w:rsid w:val="06BA2A53"/>
    <w:rsid w:val="24193C2E"/>
    <w:rsid w:val="46915BC1"/>
    <w:rsid w:val="7BB46AE6"/>
    <w:rsid w:val="7EA43807"/>
    <w:rsid w:val="7E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5A0609-1FE9-7144-84A6-4CECE7B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login.consultant.ru/link/?req=doc&amp;base=LAW&amp;n=373617&amp;date=08.07.2021&amp;dst=100011&amp;fld=13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Гость</cp:lastModifiedBy>
  <cp:revision>2</cp:revision>
  <dcterms:created xsi:type="dcterms:W3CDTF">2022-06-30T07:22:00Z</dcterms:created>
  <dcterms:modified xsi:type="dcterms:W3CDTF">2022-06-30T07:22:00Z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